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C8D5"/>
        </w:pBdr>
        <w:spacing w:before="0" w:after="200"/>
        <w:jc w:val="left"/>
      </w:pPr>
      <w:r>
        <w:rPr>
          <w:color w:val="8A929C"/>
          <w:sz w:val="20"/>
        </w:rPr>
        <w:t>브랜드·그래픽 디자이너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6508C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6508C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B2C55"/>
                <w:sz w:val="21"/>
              </w:rPr>
              <w:t>나의 디자인 스타일과 영감을 얻는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6508C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6508C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B2C55"/>
                <w:sz w:val="21"/>
              </w:rPr>
              <w:t>클라이언트 요구를 시각으로 풀어낸 대표 작업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6508C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6508C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B2C55"/>
                <w:sz w:val="21"/>
              </w:rPr>
              <w:t>입사 후 제안하고 싶은 작업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6508C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6508C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B2C55"/>
                <w:sz w:val="21"/>
              </w:rPr>
              <w:t>피드백을 받아들이는 나만의 기준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36508C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2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브랜드·그래픽 디자이너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오래된 이미지로 20대 고객 유입이 낮았음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리뉴얼 시안 3종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경쟁사 조사 후 컬러·타입 체계 재정의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신규 구매자 중 20대 비율 12% → 27%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