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B4587"/>
              <w:bottom w:val="nil"/>
              <w:right w:val="nil"/>
            </w:tcBorders>
            <w:shd w:val="clear" w:color="auto" w:fill="E0E1EB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외식·카페 매니저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sz w:val="21"/>
        </w:rPr>
        <w:t>매출이나 원가를 개선한 방법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sz w:val="21"/>
        </w:rPr>
        <w:t>직원 교육·갈등을 관리한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3. </w:t>
      </w:r>
      <w:r>
        <w:rPr>
          <w:b/>
          <w:sz w:val="21"/>
        </w:rPr>
        <w:t>신메뉴나 이벤트를 기획해 성과를 낸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4. </w:t>
      </w:r>
      <w:r>
        <w:rPr>
          <w:b/>
          <w:sz w:val="21"/>
        </w:rPr>
        <w:t>매장 운영에서 가장 보람 있었던 경험</w:t>
      </w:r>
      <w:r>
        <w:rPr>
          <w:color w:val="8A929C"/>
          <w:sz w:val="17"/>
        </w:rPr>
        <w:t xml:space="preserve">  (700자 · STAR로)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5. </w:t>
      </w:r>
      <w:r>
        <w:rPr>
          <w:b/>
          <w:sz w:val="21"/>
        </w:rPr>
        <w:t>재고·발주 관리에서 손실을 줄인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