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맑은 고딕" w:hAnsi="맑은 고딕" w:eastAsia="맑은 고딕" w:cs="맑은 고딕"/>
          <w:b/>
          <w:color w:val="521E2B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D5C3C7"/>
        </w:pBdr>
        <w:spacing w:before="0" w:after="200"/>
        <w:jc w:val="left"/>
      </w:pPr>
      <w:r>
        <w:rPr>
          <w:color w:val="8A929C"/>
          <w:sz w:val="20"/>
        </w:rPr>
        <w:t>인사·총무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73B4E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73B4E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73B4E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873B4E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873B4E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21E2B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6F1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521E2B"/>
                <w:sz w:val="21"/>
              </w:rPr>
              <w:t>사람을 대하는 나의 원칙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 · STAR로)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6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873B4E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873B4E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21E2B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6F1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521E2B"/>
                <w:sz w:val="21"/>
              </w:rPr>
              <w:t>구성원 사이의 갈등이나 민원을 풀었던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(700자)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873B4E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873B4E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21E2B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6F1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521E2B"/>
                <w:sz w:val="21"/>
              </w:rPr>
              <w:t>입사 후 만들고 싶은 조직 문화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 · 내 경험과 연결)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873B4E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873B4E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21E2B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6F1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521E2B"/>
                <w:sz w:val="21"/>
              </w:rPr>
              <w:t>법·규정이 바뀌었을 때 대응한 방법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873B4E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6F1F2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873B4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521E2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73B4E"/>
          <w:sz w:val="19"/>
        </w:rPr>
        <w:t>인사·총무 자기소개서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9"/>
              </w:rPr>
              <w:t>인사·총무는 이렇게</w:t>
            </w:r>
          </w:p>
          <w:p>
            <w:pPr>
              <w:spacing w:before="40" w:after="0"/>
              <w:jc w:val="left"/>
            </w:pPr>
            <w:r>
              <w:rPr>
                <w:color w:val="521E2B"/>
                <w:sz w:val="19"/>
              </w:rPr>
              <w:t>채용·급여·평가 중 담당한 영역을 정확히 체크하고, 제도 개선은 '배경 → 내용 → 성과'로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521E2B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신규 입사자 조기 퇴사가 잦음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초기 정착 개선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입사 첫 주 멘토제와 체크인 면담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3개월 내 퇴사율 18→7%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521E2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인사·총무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