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87A8A"/>
        </w:pBdr>
        <w:tabs>
          <w:tab w:pos="1023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1C4954"/>
          <w:spacing w:val="80"/>
          <w:sz w:val="42"/>
        </w:rPr>
        <w:t>자기소개서</w:t>
      </w:r>
      <w:r>
        <w:rPr>
          <w:color w:val="8A929C"/>
          <w:sz w:val="20"/>
        </w:rPr>
        <w:tab/>
        <w:t>퍼포먼스 마케터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387A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387A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387A8A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1. </w:t>
      </w:r>
      <w:r>
        <w:rPr>
          <w:b/>
          <w:color w:val="1C4954"/>
          <w:sz w:val="20"/>
        </w:rPr>
        <w:t>광고 성과를 크게 끌어올린 경험 (전·후 수치)</w:t>
      </w:r>
      <w:r>
        <w:rPr>
          <w:color w:val="8A929C"/>
          <w:sz w:val="17"/>
        </w:rPr>
        <w:t xml:space="preserve">   (800자 · STAR로)</w:t>
      </w:r>
    </w:p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2. </w:t>
      </w:r>
      <w:r>
        <w:rPr>
          <w:b/>
          <w:color w:val="1C4954"/>
          <w:sz w:val="20"/>
        </w:rPr>
        <w:t>데이터로 가설을 세우고 검증한 과정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87A8A"/>
          <w:sz w:val="21"/>
        </w:rPr>
        <w:t xml:space="preserve">3. </w:t>
      </w:r>
      <w:r>
        <w:rPr>
          <w:b/>
          <w:color w:val="1C4954"/>
          <w:sz w:val="20"/>
        </w:rPr>
        <w:t>예산이 한정됐을 때 우선순위를 정하는 방법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C49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5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바탕" w:hAnsi="바탕" w:eastAsia="바탕" w:cs="바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퍼포먼스 마케터 자기소개서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전환 단가가 목표보다 35%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CPA를 목표 이내로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소재 A/B 12개 테스트 후 저효율 키워드 제외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CPA −28%, 같은 예산으로 전환 +31%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