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1F514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5D2"/>
        </w:pBdr>
        <w:spacing w:before="0" w:after="200"/>
        <w:jc w:val="left"/>
      </w:pPr>
      <w:r>
        <w:rPr>
          <w:color w:val="8A929C"/>
          <w:sz w:val="20"/>
        </w:rPr>
        <w:t>CRM·그로스 마케터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D857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6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F5147"/>
                <w:sz w:val="21"/>
              </w:rPr>
              <w:t>고객 세그먼트를 나눠 성과를 낸 경험(전·후 수치)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D857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6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F5147"/>
                <w:sz w:val="21"/>
              </w:rPr>
              <w:t>리텐션·재구매를 높이기 위해 세운 가설과 검증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D857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6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F5147"/>
                <w:sz w:val="21"/>
              </w:rPr>
              <w:t>입사 후 첫 90일 계획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D857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6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F5147"/>
                <w:sz w:val="21"/>
              </w:rPr>
              <w:t>개인정보·수신 동의를 지키는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D8577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6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