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D755A"/>
              <w:bottom w:val="nil"/>
              <w:right w:val="nil"/>
            </w:tcBorders>
            <w:shd w:val="clear" w:color="auto" w:fill="E2E9E4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물류·구매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D755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sz w:val="21"/>
        </w:rPr>
        <w:t>협력사와 단가·납기를 협상한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sz w:val="21"/>
        </w:rPr>
        <w:t>비용을 줄이거나 흐름을 바꾼 개선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3. </w:t>
      </w:r>
      <w:r>
        <w:rPr>
          <w:b/>
          <w:sz w:val="21"/>
        </w:rPr>
        <w:t>납기 지연 위기를 막은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4. </w:t>
      </w:r>
      <w:r>
        <w:rPr>
          <w:b/>
          <w:sz w:val="21"/>
        </w:rPr>
        <w:t>재고·배송 문제를 해결한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D755A"/>
          <w:sz w:val="21"/>
        </w:rPr>
        <w:t xml:space="preserve">5. </w:t>
      </w:r>
      <w:r>
        <w:rPr>
          <w:b/>
          <w:sz w:val="21"/>
        </w:rPr>
        <w:t>현장과 사무 부서 사이를 조율한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