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맑은 고딕" w:hAnsi="맑은 고딕" w:eastAsia="맑은 고딕" w:cs="맑은 고딕"/>
          <w:b/>
          <w:color w:val="2F3741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7CBD1"/>
        </w:pBdr>
        <w:spacing w:before="0" w:after="200"/>
        <w:jc w:val="left"/>
      </w:pPr>
      <w:r>
        <w:rPr>
          <w:color w:val="8A929C"/>
          <w:sz w:val="20"/>
        </w:rPr>
        <w:t>외식·카페 매니저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545F6E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545F6E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545F6E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6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45F6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45F6E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F3741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3F3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F3741"/>
                <w:sz w:val="21"/>
              </w:rPr>
              <w:t>매장 운영에서 가장 보람 있었던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(700자)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6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45F6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45F6E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F3741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3F3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F3741"/>
                <w:sz w:val="21"/>
              </w:rPr>
              <w:t>매출이나 원가를 개선한 방법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(700자)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28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45F6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45F6E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F3741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3F3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F3741"/>
                <w:sz w:val="21"/>
              </w:rPr>
              <w:t>단골 고객을 만든 방법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45F6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45F6E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F3741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3F3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F3741"/>
                <w:sz w:val="21"/>
              </w:rPr>
              <w:t>재고·발주 관리에서 손실을 줄인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545F6E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3F3F5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