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ACCOUNTING · FINANCE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80"/>
          <w:sz w:val="60"/>
        </w:rPr>
        <w:t>이  름</w:t>
      </w:r>
    </w:p>
    <w:p>
      <w:pPr>
        <w:keepNext w:val="0"/>
        <w:pBdr>
          <w:bottom w:val="single" w:sz="24" w:space="6" w:color="31363F"/>
        </w:pBdr>
        <w:spacing w:before="0" w:after="160"/>
        <w:jc w:val="left"/>
      </w:pPr>
      <w:r>
        <w:rPr>
          <w:rFonts w:ascii="바탕" w:hAnsi="바탕" w:eastAsia="바탕" w:cs="바탕"/>
          <w:color w:val="575E6B"/>
          <w:sz w:val="22"/>
        </w:rPr>
        <w:t>회계·재무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회계 프로그램 · 도구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담당 업무 범위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전표 · 장부   □ 부가세   □ 원천세   □ 결산   □ 세무조정   □ 자금 · 수지   □ 원가   □ 감사 대응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경 력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결산 · 세무 경험 (기간 · 규모 · 성과)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학 력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