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B2B SALES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80"/>
          <w:sz w:val="60"/>
        </w:rPr>
        <w:t>이  름</w:t>
      </w:r>
    </w:p>
    <w:p>
      <w:pPr>
        <w:keepNext w:val="0"/>
        <w:pBdr>
          <w:bottom w:val="single" w:sz="6" w:space="6" w:color="1F5147"/>
        </w:pBdr>
        <w:spacing w:before="0" w:after="160"/>
        <w:jc w:val="left"/>
      </w:pPr>
      <w:r>
        <w:rPr>
          <w:rFonts w:ascii="바탕" w:hAnsi="바탕" w:eastAsia="바탕" w:cs="바탕"/>
          <w:color w:val="3D8577"/>
          <w:sz w:val="22"/>
        </w:rPr>
        <w:t>법인영업(B2B)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영업 실적 (연도별)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주요 거래처 · 수주 사례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영업 방식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신규 개척   □ 기존 고객 관리   □ 입찰 · 제안   □ 채널 · 대리점   □ 전화 · 온라인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경 력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학력 · 자격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