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E393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법인영업(B2B)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B2B SALES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696359"/>
              <w:left w:val="nil"/>
              <w:bottom w:val="nil"/>
              <w:right w:val="nil"/>
            </w:tcBorders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영업 실적 (연도별)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주요 거래처 · 수주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거래처(업종)</w:t>
            </w:r>
          </w:p>
        </w:tc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상품 · 솔루션</w:t>
            </w:r>
          </w:p>
        </w:tc>
        <w:tc>
          <w:tcPr>
            <w:tcW w:type="dxa" w:w="26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  <w:tc>
          <w:tcPr>
            <w:tcW w:type="dxa" w:w="267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영업 기간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영업 방식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신규 개척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기존 고객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입찰 · 제안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채널 · 대리점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온라인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</w:tbl>
    <w:p>
      <w:pPr>
        <w:keepNext/>
        <w:pBdr>
          <w:bottom w:val="single" w:sz="10" w:space="3" w:color="3E3932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45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shd w:val="clear" w:color="auto" w:fill="F4F4F3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FCDC9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