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C2B54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84E8A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희망연령반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84E8A"/>
          <w:sz w:val="17"/>
        </w:rPr>
        <w:t>education</w:t>
      </w:r>
      <w:r>
        <w:rPr>
          <w:rFonts w:ascii="바탕" w:hAnsi="바탕" w:eastAsia="바탕" w:cs="바탕"/>
          <w:b/>
          <w:color w:val="1C2B54"/>
          <w:sz w:val="22"/>
        </w:rPr>
        <w:t xml:space="preserve">   자격 · 이수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급 수 ·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84E8A"/>
          <w:sz w:val="17"/>
        </w:rPr>
        <w:t>work</w:t>
      </w:r>
      <w:r>
        <w:rPr>
          <w:rFonts w:ascii="바탕" w:hAnsi="바탕" w:eastAsia="바탕" w:cs="바탕"/>
          <w:b/>
          <w:color w:val="1C2B54"/>
          <w:sz w:val="22"/>
        </w:rPr>
        <w:t xml:space="preserve">   근무 경력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어린이집 · 유치원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담당 반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원아 수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84E8A"/>
          <w:sz w:val="17"/>
        </w:rPr>
        <w:t>work</w:t>
      </w:r>
      <w:r>
        <w:rPr>
          <w:rFonts w:ascii="바탕" w:hAnsi="바탕" w:eastAsia="바탕" w:cs="바탕"/>
          <w:b/>
          <w:color w:val="1C2B54"/>
          <w:sz w:val="22"/>
        </w:rPr>
        <w:t xml:space="preserve">   담당 가능 연령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만 0세   □ 만 1세   □ 만 2세   □ 만 3세   □ 만 4세   □ 만 5세   □ 혼합연령</w:t>
            </w:r>
          </w:p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84E8A"/>
          <w:sz w:val="17"/>
        </w:rPr>
        <w:t>skills</w:t>
      </w:r>
      <w:r>
        <w:rPr>
          <w:rFonts w:ascii="바탕" w:hAnsi="바탕" w:eastAsia="바탕" w:cs="바탕"/>
          <w:b/>
          <w:color w:val="1C2B54"/>
          <w:sz w:val="22"/>
        </w:rPr>
        <w:t xml:space="preserve">   진행한 활동 프로그램 사례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84E8A"/>
          <w:sz w:val="17"/>
        </w:rPr>
        <w:t>education</w:t>
      </w:r>
      <w:r>
        <w:rPr>
          <w:rFonts w:ascii="바탕" w:hAnsi="바탕" w:eastAsia="바탕" w:cs="바탕"/>
          <w:b/>
          <w:color w:val="1C2B54"/>
          <w:sz w:val="22"/>
        </w:rPr>
        <w:t xml:space="preserve">   학력 · 안전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84E8A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