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22"/>
              </w:rPr>
              <w:t>보험·금융 영업</w:t>
            </w:r>
            <w:r>
              <w:rPr>
                <w:color w:val="8A929C"/>
                <w:spacing w:val="20"/>
                <w:sz w:val="16"/>
              </w:rPr>
              <w:t xml:space="preserve">   ·   INSURANCE · FINANCE</w:t>
            </w:r>
          </w:p>
        </w:tc>
      </w:tr>
    </w:tbl>
    <w:p>
      <w:pPr>
        <w:keepNext w:val="0"/>
        <w:pBdr>
          <w:bottom w:val="single" w:sz="18" w:space="1" w:color="4F677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활동지역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소속·직위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01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보유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02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영업 실적 (월 · 연)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03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전문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보장성      □ 저축 · 연금      □ 법인      □ 자영업      □ 사회초년생      □ 시니어      □ 어린이 · 청소년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04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고객 관리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정기 안부      □ 증권 점검      □ 행사 · 모임      □ 온라인 상담      □ 소개 영업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05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경력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06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교육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