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22"/>
              </w:rPr>
              <w:t>인사·총무</w:t>
            </w:r>
            <w:r>
              <w:rPr>
                <w:color w:val="8A929C"/>
                <w:spacing w:val="20"/>
                <w:sz w:val="16"/>
              </w:rPr>
              <w:t xml:space="preserve">   ·   HR · GENERAL AFFAIRS</w:t>
            </w:r>
          </w:p>
        </w:tc>
      </w:tr>
    </w:tbl>
    <w:p>
      <w:pPr>
        <w:keepNext w:val="0"/>
        <w:pBdr>
          <w:bottom w:val="single" w:sz="18" w:space="1" w:color="34888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01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담당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채용      □ 급여 · 4대보험      □ 평가 · 보상      □ 교육      □ 노무 · 근태      □ 총무 · 자산      □ 복리후생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02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03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제도 개선 ·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888E"/>
                <w:sz w:val="16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04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자격 · 활용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 · 프로그램명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>05</w:t>
      </w:r>
      <w:r>
        <w:rPr>
          <w:rFonts w:ascii="맑은 고딕" w:hAnsi="맑은 고딕" w:eastAsia="맑은 고딕" w:cs="맑은 고딕"/>
          <w:b/>
          <w:color w:val="195357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