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22"/>
              </w:rPr>
              <w:t>회계·재무</w:t>
            </w:r>
            <w:r>
              <w:rPr>
                <w:color w:val="8A929C"/>
                <w:spacing w:val="20"/>
                <w:sz w:val="16"/>
              </w:rPr>
              <w:t xml:space="preserve">   ·   ACCOUNTING · FINANCE</w:t>
            </w:r>
          </w:p>
        </w:tc>
        <w:tc>
          <w:tcPr>
            <w:tcW w:type="dxa" w:w="1560"/>
            <w:tcBorders>
              <w:top w:val="single" w:sz="6" w:space="0" w:color="C3C8D5"/>
              <w:left w:val="single" w:sz="6" w:space="0" w:color="C3C8D5"/>
              <w:bottom w:val="single" w:sz="6" w:space="0" w:color="C3C8D5"/>
              <w:right w:val="single" w:sz="6" w:space="0" w:color="C3C8D5"/>
            </w:tcBorders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6" w:space="1" w:color="C3C8D5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6"/>
              </w:rPr>
              <w:t xml:space="preserve">희망연봉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84E8A"/>
          <w:sz w:val="22"/>
        </w:rPr>
        <w:t>01</w:t>
      </w:r>
      <w:r>
        <w:rPr>
          <w:rFonts w:ascii="바탕" w:hAnsi="바탕" w:eastAsia="바탕" w:cs="바탕"/>
          <w:b/>
          <w:color w:val="1C2B54"/>
          <w:sz w:val="23"/>
        </w:rPr>
        <w:t xml:space="preserve">   자격 · 면허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84E8A"/>
          <w:sz w:val="22"/>
        </w:rPr>
        <w:t>02</w:t>
      </w:r>
      <w:r>
        <w:rPr>
          <w:rFonts w:ascii="바탕" w:hAnsi="바탕" w:eastAsia="바탕" w:cs="바탕"/>
          <w:b/>
          <w:color w:val="1C2B54"/>
          <w:sz w:val="23"/>
        </w:rPr>
        <w:t xml:space="preserve">   회계 프로그램 ·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384E8A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384E8A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384E8A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84E8A"/>
          <w:sz w:val="22"/>
        </w:rPr>
        <w:t>03</w:t>
      </w:r>
      <w:r>
        <w:rPr>
          <w:rFonts w:ascii="바탕" w:hAnsi="바탕" w:eastAsia="바탕" w:cs="바탕"/>
          <w:b/>
          <w:color w:val="1C2B54"/>
          <w:sz w:val="23"/>
        </w:rPr>
        <w:t xml:space="preserve">   담당 업무 범위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전표 · 장부      □ 부가세      □ 원천세      □ 결산      □ 세무조정      □ 자금 · 수지      □ 원가      □ 감사 대응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84E8A"/>
          <w:sz w:val="22"/>
        </w:rPr>
        <w:t>04</w:t>
      </w:r>
      <w:r>
        <w:rPr>
          <w:rFonts w:ascii="바탕" w:hAnsi="바탕" w:eastAsia="바탕" w:cs="바탕"/>
          <w:b/>
          <w:color w:val="1C2B54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회사명 /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회사명 /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회사명 /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84E8A"/>
          <w:sz w:val="22"/>
        </w:rPr>
        <w:t>05</w:t>
      </w:r>
      <w:r>
        <w:rPr>
          <w:rFonts w:ascii="바탕" w:hAnsi="바탕" w:eastAsia="바탕" w:cs="바탕"/>
          <w:b/>
          <w:color w:val="1C2B54"/>
          <w:sz w:val="23"/>
        </w:rPr>
        <w:t xml:space="preserve">   결산 · 세무 경험 (기간 · 규모 · 성과)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35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84E8A"/>
          <w:sz w:val="22"/>
        </w:rPr>
        <w:t>06</w:t>
      </w:r>
      <w:r>
        <w:rPr>
          <w:rFonts w:ascii="바탕" w:hAnsi="바탕" w:eastAsia="바탕" w:cs="바탕"/>
          <w:b/>
          <w:color w:val="1C2B54"/>
          <w:sz w:val="23"/>
        </w:rPr>
        <w:t xml:space="preserve">   학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학점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학점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바탕" w:hAnsi="바탕" w:eastAsia="바탕" w:cs="바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회계·재무 이력서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회계·재무는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담당 업무 범위(전표·결산·세무조정)와 사용한 프로그램, 결산 소요 일수 같은 수치를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2021.04~현재 · ○○(주) 재무팀 · 월 결산 8일 → 5일, 전표 오류율 2.1% → 0.4%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