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A6167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백엔드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A6167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34383D"/>
          <w:sz w:val="21"/>
        </w:rPr>
        <w:t xml:space="preserve">마무리 문항  </w:t>
      </w:r>
      <w:r>
        <w:rPr>
          <w:color w:val="8A929C"/>
          <w:sz w:val="20"/>
        </w:rPr>
        <w:t>가장 어려웠던 장애·성능 문제와 해결 과정</w:t>
      </w:r>
      <w:r>
        <w:rPr>
          <w:color w:val="8A929C"/>
          <w:sz w:val="17"/>
        </w:rPr>
        <w:t xml:space="preserve">   (상황 → 원인 → 조치 → 결과, 800자)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34383D"/>
          <w:sz w:val="21"/>
        </w:rPr>
        <w:t xml:space="preserve">마무리 문항  </w:t>
      </w:r>
      <w:r>
        <w:rPr>
          <w:color w:val="8A929C"/>
          <w:sz w:val="20"/>
        </w:rPr>
        <w:t>입사 후 1년 안에 만들고 싶은 변화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