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233A4D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DD5"/>
        </w:pBdr>
        <w:spacing w:before="0" w:after="200"/>
        <w:jc w:val="left"/>
      </w:pPr>
      <w:r>
        <w:rPr>
          <w:color w:val="8A929C"/>
          <w:sz w:val="20"/>
        </w:rPr>
        <w:t>퍼포먼스 마케터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광고 성과를 크게 끌어올린 경험 (전·후 수치)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데이터로 가설을 세우고 검증한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입사 후 첫 90일 계획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26380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26380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4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3A4D"/>
                <w:sz w:val="21"/>
              </w:rPr>
              <w:t>마케팅 데이터를 팀에 공유하고 설득한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26380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4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