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c>
          <w:tcPr>
            <w:tcW w:type="dxa" w:w="276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21E2B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873B4E"/>
                <w:sz w:val="18"/>
              </w:rPr>
              <w:t>CRM·그로스 마케터</w:t>
            </w:r>
          </w:p>
        </w:tc>
        <w:tc>
          <w:tcPr>
            <w:tcW w:type="dxa" w:w="7650"/>
          </w:tcPr>
          <w:p>
            <w:pPr>
              <w:tabs>
                <w:tab w:pos="750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521E2B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3450" w:hRule="atLeast"/>
          <w:cantSplit/>
        </w:trPr>
        <w:tc>
          <w:tcPr>
            <w:tcW w:type="dxa" w:w="2760"/>
            <w:shd w:val="clear" w:color="auto" w:fill="F6F1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73B4E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521E2B"/>
                <w:sz w:val="19"/>
              </w:rPr>
              <w:t>고객 세그먼트를 나눠 성과를 낸 경험(전·후 수치)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(800자)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6F1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73B4E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521E2B"/>
                <w:sz w:val="19"/>
              </w:rPr>
              <w:t>메시지 실험(A/B)에서 배운 점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6F1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73B4E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521E2B"/>
                <w:sz w:val="19"/>
              </w:rPr>
              <w:t>입사 후 첫 90일 계획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6F1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73B4E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521E2B"/>
                <w:sz w:val="19"/>
              </w:rPr>
              <w:t>개발·디자인팀과 협업해 실험을 실행한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6F1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73B4E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521E2B"/>
                <w:sz w:val="19"/>
              </w:rPr>
              <w:t>개인정보·수신 동의를 지키는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바탕" w:hAnsi="바탕" w:eastAsia="바탕" w:cs="바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CRM·그로스 마케터 자기소개서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가입 후 첫 구매 전환이 낮음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첫 구매 전환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가입 후 1·3·7일 시나리오 메시지와 쿠폰 A/B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첫 구매 전환 +34%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CRM·그로스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