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1F514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5D2"/>
        </w:pBdr>
        <w:spacing w:before="0" w:after="200"/>
        <w:jc w:val="left"/>
      </w:pPr>
      <w:r>
        <w:rPr>
          <w:color w:val="8A929C"/>
          <w:sz w:val="20"/>
        </w:rPr>
        <w:t>CRM·그로스 마케터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고객 세그먼트를 나눠 성과를 낸 경험(전·후 수치)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리텐션·재구매를 높이기 위해 세운 가설과 검증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입사 후 첫 90일 계획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개인정보·수신 동의를 지키는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D8577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6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