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REGISTERED NURSE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80"/>
          <w:sz w:val="60"/>
        </w:rPr>
        <w:t>이  름</w:t>
      </w:r>
    </w:p>
    <w:p>
      <w:pPr>
        <w:keepNext w:val="0"/>
        <w:pBdr>
          <w:bottom w:val="single" w:sz="6" w:space="6" w:color="4F2228"/>
        </w:pBdr>
        <w:spacing w:before="0" w:after="160"/>
        <w:jc w:val="left"/>
      </w:pPr>
      <w:r>
        <w:rPr>
          <w:rFonts w:ascii="바탕" w:hAnsi="바탕" w:eastAsia="바탕" w:cs="바탕"/>
          <w:color w:val="824049"/>
          <w:sz w:val="22"/>
        </w:rPr>
        <w:t>간호사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면허번호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면허 · 자격 · 교육 이수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학 력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임상 경력 (부서별)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보유 술기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IV · 채혈   □ 인공호흡기   □ CRRT   □ 항암 투여   □ 투석   □ 수술실   □ 기도 흡인   □ 욕창 관리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근무 가능 형태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3교대   □ 상근   □ 야간 전담   □ 파트타임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기간 입력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