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1E6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pacing w:val="60"/>
                <w:sz w:val="48"/>
              </w:rPr>
              <w:t>이  름</w:t>
            </w:r>
            <w:r>
              <w:rPr>
                <w:b/>
                <w:color w:val="233A4D"/>
                <w:sz w:val="24"/>
              </w:rPr>
              <w:tab/>
              <w:t>전기·설비 기술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ELECTRICAL · FACILITY ENGINEER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담당 설비 · 현장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사업장 · 건물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설비</w:t>
            </w:r>
          </w:p>
        </w:tc>
        <w:tc>
          <w:tcPr>
            <w:tcW w:type="dxa" w:w="283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가능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수변전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공조 · 냉난방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승강기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배관 · 기계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BAS · 자동제어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에너지 관리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근무 조건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순회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비상 대기 가능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당직 가능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점검 · 정비 · 장애 대응 사례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1E6EA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사례명</w:t>
            </w:r>
          </w:p>
        </w:tc>
        <w:tc>
          <w:tcPr>
            <w:tcW w:type="dxa" w:w="5295"/>
            <w:shd w:val="clear" w:color="auto" w:fill="E1E6EA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일 시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원인 · 조치 · 결과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기간 입력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