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PERFORMANCE MARKETER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80"/>
          <w:sz w:val="60"/>
        </w:rPr>
        <w:t>이  름</w:t>
      </w:r>
    </w:p>
    <w:p>
      <w:pPr>
        <w:keepNext w:val="0"/>
        <w:pBdr>
          <w:bottom w:val="single" w:sz="24" w:space="6" w:color="193357"/>
        </w:pBdr>
        <w:spacing w:before="0" w:after="160"/>
        <w:jc w:val="left"/>
      </w:pPr>
      <w:r>
        <w:rPr>
          <w:rFonts w:ascii="바탕" w:hAnsi="바탕" w:eastAsia="바탕" w:cs="바탕"/>
          <w:color w:val="34598E"/>
          <w:sz w:val="22"/>
        </w:rPr>
        <w:t>퍼포먼스 마케터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지원분야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경력 · 학력 · 자격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광고 매체 운영 경험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분석 · 자동화 도구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캠페인 사례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캠페인명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목 표 · 예 산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598E"/>
          <w:sz w:val="16"/>
        </w:rPr>
        <w:t>전략 · 성과 (전후 수치)</w:t>
      </w: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캠페인명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목 표 · 예 산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598E"/>
          <w:sz w:val="16"/>
        </w:rPr>
        <w:t>전략 · 성과 (전후 수치)</w:t>
      </w: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