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231F51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413D85"/>
          <w:sz w:val="22"/>
        </w:rPr>
        <w:t>방과후·돌봄교사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231F51"/>
          <w:sz w:val="23"/>
        </w:rPr>
        <w:t>아이들 사이 갈등을 풀어 준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231F51"/>
          <w:sz w:val="23"/>
        </w:rPr>
        <w:t>안전사고를 예방하기 위해 지킨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231F51"/>
          <w:sz w:val="23"/>
        </w:rPr>
        <w:t>수준 차이가 있는 아이들을 함께 가르친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231F51"/>
          <w:sz w:val="23"/>
        </w:rPr>
        <w:t>교사·학교와 협력한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