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44254B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인사·총무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b/>
          <w:sz w:val="21"/>
        </w:rPr>
        <w:t>사람을 대하는 나의 원칙</w:t>
      </w:r>
      <w:r>
        <w:rPr>
          <w:color w:val="8A929C"/>
          <w:sz w:val="17"/>
        </w:rPr>
        <w:t xml:space="preserve">   (600자 · STAR로)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b/>
          <w:sz w:val="21"/>
        </w:rPr>
        <w:t>구성원 사이의 갈등이나 민원을 풀었던 경험</w:t>
      </w:r>
      <w:r>
        <w:rPr>
          <w:color w:val="8A929C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3. </w:t>
      </w:r>
      <w:r>
        <w:rPr>
          <w:b/>
          <w:sz w:val="21"/>
        </w:rPr>
        <w:t>제도나 절차를 개선해 효과를 본 사례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4. </w:t>
      </w:r>
      <w:r>
        <w:rPr>
          <w:b/>
          <w:sz w:val="21"/>
        </w:rPr>
        <w:t>개인정보·보안이 중요한 업무를 다루는 자세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5. </w:t>
      </w:r>
      <w:r>
        <w:rPr>
          <w:b/>
          <w:sz w:val="21"/>
        </w:rPr>
        <w:t>입사 후 만들고 싶은 조직 문화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