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233A4D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3CDD5"/>
        </w:pBdr>
        <w:spacing w:before="0" w:after="200"/>
        <w:jc w:val="left"/>
      </w:pPr>
      <w:r>
        <w:rPr>
          <w:color w:val="8A929C"/>
          <w:sz w:val="20"/>
        </w:rPr>
        <w:t>인테리어 시공·설계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26380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26380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3A4D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4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3A4D"/>
                <w:sz w:val="21"/>
              </w:rPr>
              <w:t>가장 기억에 남는 공간을 만든 과정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(요구 파악 → 설계 → 시공, 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26380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26380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3A4D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4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3A4D"/>
                <w:sz w:val="21"/>
              </w:rPr>
              <w:t>고객 요구와 예산·법규 사이를 조율한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26380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26380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3A4D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4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3A4D"/>
                <w:sz w:val="21"/>
              </w:rPr>
              <w:t>입사 후 맡고 싶은 프로젝트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26380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26380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3A4D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4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3A4D"/>
                <w:sz w:val="21"/>
              </w:rPr>
              <w:t>안전한 현장을 위해 지키는 원칙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426380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4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 xml:space="preserve">  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인테리어 시공·설계 자기소개서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마감 단계에서 재시공이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재시공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공정별 체크리스트와 사전 샘플 확인 절차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재시공 건수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인테리어 시공·설계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