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65B4B"/>
              <w:bottom w:val="nil"/>
              <w:right w:val="nil"/>
            </w:tcBorders>
            <w:shd w:val="clear" w:color="auto" w:fill="F5F3F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7342A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퍼포먼스 마케터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sz w:val="21"/>
        </w:rPr>
        <w:t>데이터로 가설을 세우고 검증한 과정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sz w:val="21"/>
        </w:rPr>
        <w:t>실패한 캠페인에서 배운 점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3. </w:t>
      </w:r>
      <w:r>
        <w:rPr>
          <w:b/>
          <w:sz w:val="21"/>
        </w:rPr>
        <w:t>광고 예산을 재배분해 효율을 높인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4. </w:t>
      </w:r>
      <w:r>
        <w:rPr>
          <w:b/>
          <w:sz w:val="21"/>
        </w:rPr>
        <w:t>광고 성과를 크게 끌어올린 경험 (전·후 수치)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5. </w:t>
      </w:r>
      <w:r>
        <w:rPr>
          <w:b/>
          <w:sz w:val="21"/>
        </w:rPr>
        <w:t>마케팅 데이터를 팀에 공유하고 설득한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