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36508C"/>
              <w:bottom w:val="nil"/>
              <w:right w:val="nil"/>
            </w:tcBorders>
            <w:shd w:val="clear" w:color="auto" w:fill="F1F2F6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CRM·그로스 마케터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6508C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6508C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6508C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6508C"/>
          <w:sz w:val="21"/>
        </w:rPr>
        <w:t xml:space="preserve">1. </w:t>
      </w:r>
      <w:r>
        <w:rPr>
          <w:b/>
          <w:sz w:val="21"/>
        </w:rPr>
        <w:t>리텐션·재구매를 높이기 위해 세운 가설과 검증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6508C"/>
          <w:sz w:val="21"/>
        </w:rPr>
        <w:t xml:space="preserve">2. </w:t>
      </w:r>
      <w:r>
        <w:rPr>
          <w:b/>
          <w:sz w:val="21"/>
        </w:rPr>
        <w:t>메시지 실험(A/B)에서 배운 점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6508C"/>
          <w:sz w:val="21"/>
        </w:rPr>
        <w:t xml:space="preserve">3. </w:t>
      </w:r>
      <w:r>
        <w:rPr>
          <w:b/>
          <w:sz w:val="21"/>
        </w:rPr>
        <w:t>자동화 시나리오를 설계하고 개선한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6508C"/>
          <w:sz w:val="21"/>
        </w:rPr>
        <w:t xml:space="preserve">4. </w:t>
      </w:r>
      <w:r>
        <w:rPr>
          <w:b/>
          <w:sz w:val="21"/>
        </w:rPr>
        <w:t>고객 세그먼트를 나눠 성과를 낸 경험(전·후 수치)</w:t>
      </w:r>
      <w:r>
        <w:rPr>
          <w:color w:val="8A929C"/>
          <w:sz w:val="17"/>
        </w:rPr>
        <w:t xml:space="preserve">  (800자 · STAR로)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6508C"/>
          <w:sz w:val="21"/>
        </w:rPr>
        <w:t xml:space="preserve">5. </w:t>
      </w:r>
      <w:r>
        <w:rPr>
          <w:b/>
          <w:sz w:val="21"/>
        </w:rPr>
        <w:t>개인정보·수신 동의를 지키는 원칙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CRM·그로스 마케터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가입 후 첫 구매 전환이 낮음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첫 구매 전환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가입 후 1·3·7일 시나리오 메시지와 쿠폰 A/B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첫 구매 전환 +34%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CRM·그로스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