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F514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D2"/>
        </w:pBdr>
        <w:spacing w:before="0" w:after="200"/>
        <w:jc w:val="left"/>
      </w:pPr>
      <w:r>
        <w:rPr>
          <w:color w:val="8A929C"/>
          <w:sz w:val="20"/>
        </w:rPr>
        <w:t>CRM·그로스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고객 세그먼트를 나눠 성과를 낸 경험(전·후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리텐션·재구매를 높이기 위해 세운 가설과 검증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개인정보·수신 동의를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D857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