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9E2A2B"/>
          <w:sz w:val="40"/>
        </w:rPr>
        <w:t>ESTUDIO ECONÓMICO Y FINANCIERO</w:t>
      </w:r>
    </w:p>
    <w:p>
      <w:pPr>
        <w:spacing w:after="480"/>
        <w:jc w:val="center"/>
      </w:pPr>
      <w:r>
        <w:rPr>
          <w:rFonts w:ascii="Arial" w:hAnsi="Arial"/>
          <w:i/>
          <w:color w:val="666666"/>
          <w:sz w:val="26"/>
        </w:rPr>
        <w:t>Sistema de Gestión Empresarial (ERP) — Industrias Carpicenter</w:t>
        <w:br/>
        <w:t>(Para Incorporación en Documento de Tesis)</w:t>
      </w:r>
    </w:p>
    <w:p>
      <w:pPr>
        <w:spacing w:after="720"/>
        <w:jc w:val="center"/>
      </w:pPr>
      <w:r>
        <w:rPr>
          <w:color w:val="CCCCCC"/>
        </w:rPr>
        <w:t>__________________________________________________________________</w:t>
      </w:r>
    </w:p>
    <w:p>
      <w:pPr>
        <w:spacing w:before="360" w:after="160"/>
      </w:pPr>
      <w:r>
        <w:rPr>
          <w:b/>
          <w:color w:val="9E2A2B"/>
          <w:sz w:val="28"/>
        </w:rPr>
        <w:t>1. Introducción y Contexto del Proyecto</w:t>
      </w:r>
    </w:p>
    <w:p>
      <w:r>
        <w:t xml:space="preserve">El presente documento detalla la evaluación económica y financiera para el desarrollo, implantación y mantenimiento del sistema web modular ERP para Industrias Carpicenter. La empresa pertenece al sector PyME (Pequeña y Mediana Empresa) dedicada a la manufactura y comercialización de muebles de madera en el mercado peruano. </w:t>
      </w:r>
    </w:p>
    <w:p>
      <w:r>
        <w:t>El análisis económico ha sido adaptado minuciosamente para reflejar los ingresos reales de la organización y una estructura de costos altamente optimizada y austera, coherente con el presupuesto de inversión que maneja una PyME de este sector. La evaluación se realiza con una proyección a tres (03) años, considerando que el ciclo de vida tecnológico y la obsolescencia del software a medida exigen evaluar rentabilidades a mediano plazo. Todos los valores financieros están expresados únicamente en Soles (S/.).</w:t>
      </w:r>
    </w:p>
    <w:p>
      <w:pPr>
        <w:spacing w:before="360" w:after="160"/>
      </w:pPr>
      <w:r>
        <w:rPr>
          <w:b/>
          <w:color w:val="9E2A2B"/>
          <w:sz w:val="28"/>
        </w:rPr>
        <w:t>2. Estructura del Presupuesto de Inversión</w:t>
      </w:r>
    </w:p>
    <w:p>
      <w:r>
        <w:t>La inversión requerida se divide en dos categorías financieras fundamentales: Gastos de Capital (CapEx), referidos a la adquisición e ingeniería inicial del software a través del proyecto de tesis/freelance, y Gastos Operativos (OpEx), referidos a la infraestructura mínima necesaria para mantener la plataforma en la nube.</w:t>
      </w:r>
    </w:p>
    <w:p>
      <w:pPr>
        <w:spacing w:before="240" w:after="120"/>
      </w:pPr>
      <w:r>
        <w:rPr>
          <w:b/>
          <w:color w:val="333333"/>
          <w:sz w:val="24"/>
        </w:rPr>
        <w:t>2.1. Inversión Inicial en Desarrollo de Software (CapEx)</w:t>
      </w:r>
    </w:p>
    <w:p>
      <w:r>
        <w:t>Para una PyME como Carpicenter, un desarrollo sobredimensionado resultaría inviable. Por ello, el costo de desarrollo se ha estructurado bajo tarifas competitivas locales para un servicio freelance o modalidad de proyecto de tesis/tutoría técnica, alcanzando un valor ajustado de S/. 15,000.00. A continuación se desglosan las fases de ingeniería:</w:t>
      </w:r>
    </w:p>
    <w:tbl>
      <w:tblPr>
        <w:tblW w:type="auto" w:w="0"/>
        <w:jc w:val="center"/>
        <w:tblLook w:firstColumn="1" w:firstRow="1" w:lastColumn="0" w:lastRow="0" w:noHBand="0" w:noVBand="1" w:val="04A0"/>
      </w:tblPr>
      <w:tblGrid>
        <w:gridCol w:w="2340"/>
        <w:gridCol w:w="2340"/>
        <w:gridCol w:w="2340"/>
        <w:gridCol w:w="2340"/>
      </w:tblGrid>
      <w:tr>
        <w:tc>
          <w:tcPr>
            <w:tcW w:type="dxa" w:w="2592"/>
            <w:shd w:fill="9E2A2B"/>
            <w:tcMar>
              <w:top w:w="120" w:type="dxa"/>
              <w:bottom w:w="120" w:type="dxa"/>
              <w:left w:w="150" w:type="dxa"/>
              <w:right w:w="150" w:type="dxa"/>
            </w:tcMar>
          </w:tcPr>
          <w:p>
            <w:pPr>
              <w:jc w:val="center"/>
            </w:pPr>
            <w:r>
              <w:rPr>
                <w:b/>
                <w:color w:val="FFFFFF"/>
              </w:rPr>
              <w:t>Fase del Proyecto</w:t>
            </w:r>
          </w:p>
        </w:tc>
        <w:tc>
          <w:tcPr>
            <w:tcW w:type="dxa" w:w="3888"/>
            <w:shd w:fill="9E2A2B"/>
            <w:tcMar>
              <w:top w:w="120" w:type="dxa"/>
              <w:bottom w:w="120" w:type="dxa"/>
              <w:left w:w="150" w:type="dxa"/>
              <w:right w:w="150" w:type="dxa"/>
            </w:tcMar>
          </w:tcPr>
          <w:p>
            <w:pPr>
              <w:jc w:val="center"/>
            </w:pPr>
            <w:r>
              <w:rPr>
                <w:b/>
                <w:color w:val="FFFFFF"/>
              </w:rPr>
              <w:t>Descripción Básica</w:t>
            </w:r>
          </w:p>
        </w:tc>
        <w:tc>
          <w:tcPr>
            <w:tcW w:type="dxa" w:w="1440"/>
            <w:shd w:fill="9E2A2B"/>
            <w:tcMar>
              <w:top w:w="120" w:type="dxa"/>
              <w:bottom w:w="120" w:type="dxa"/>
              <w:left w:w="150" w:type="dxa"/>
              <w:right w:w="150" w:type="dxa"/>
            </w:tcMar>
          </w:tcPr>
          <w:p>
            <w:pPr>
              <w:jc w:val="center"/>
            </w:pPr>
            <w:r>
              <w:rPr>
                <w:b/>
                <w:color w:val="FFFFFF"/>
              </w:rPr>
              <w:t>Esfuerzo (Horas)</w:t>
            </w:r>
          </w:p>
        </w:tc>
        <w:tc>
          <w:tcPr>
            <w:tcW w:type="dxa" w:w="1440"/>
            <w:shd w:fill="9E2A2B"/>
            <w:tcMar>
              <w:top w:w="120" w:type="dxa"/>
              <w:bottom w:w="120" w:type="dxa"/>
              <w:left w:w="150" w:type="dxa"/>
              <w:right w:w="150" w:type="dxa"/>
            </w:tcMar>
          </w:tcPr>
          <w:p>
            <w:pPr>
              <w:jc w:val="center"/>
            </w:pPr>
            <w:r>
              <w:rPr>
                <w:b/>
                <w:color w:val="FFFFFF"/>
              </w:rPr>
              <w:t>Costo Total (S/.)</w:t>
            </w:r>
          </w:p>
        </w:tc>
      </w:tr>
      <w:tr>
        <w:tc>
          <w:tcPr>
            <w:tcW w:type="dxa" w:w="2592"/>
            <w:tcMar>
              <w:top w:w="80" w:type="dxa"/>
              <w:bottom w:w="80" w:type="dxa"/>
              <w:left w:w="120" w:type="dxa"/>
              <w:right w:w="120" w:type="dxa"/>
            </w:tcMar>
          </w:tcPr>
          <w:p>
            <w:pPr>
              <w:spacing w:after="40" w:line="240" w:lineRule="auto"/>
              <w:jc w:val="left"/>
            </w:pPr>
            <w:r>
              <w:t>1. Planificación e Ingeniería</w:t>
            </w:r>
          </w:p>
        </w:tc>
        <w:tc>
          <w:tcPr>
            <w:tcW w:type="dxa" w:w="3888"/>
            <w:tcMar>
              <w:top w:w="80" w:type="dxa"/>
              <w:bottom w:w="80" w:type="dxa"/>
              <w:left w:w="120" w:type="dxa"/>
              <w:right w:w="120" w:type="dxa"/>
            </w:tcMar>
          </w:tcPr>
          <w:p>
            <w:pPr>
              <w:spacing w:after="40" w:line="240" w:lineRule="auto"/>
              <w:jc w:val="left"/>
            </w:pPr>
            <w:r>
              <w:t>Levantamiento de requerimientos y modelado de Base de Datos</w:t>
            </w:r>
          </w:p>
        </w:tc>
        <w:tc>
          <w:tcPr>
            <w:tcW w:type="dxa" w:w="1440"/>
            <w:tcMar>
              <w:top w:w="80" w:type="dxa"/>
              <w:bottom w:w="80" w:type="dxa"/>
              <w:left w:w="120" w:type="dxa"/>
              <w:right w:w="120" w:type="dxa"/>
            </w:tcMar>
          </w:tcPr>
          <w:p>
            <w:pPr>
              <w:spacing w:after="40" w:line="240" w:lineRule="auto"/>
              <w:jc w:val="right"/>
            </w:pPr>
            <w:r>
              <w:t>60</w:t>
            </w:r>
          </w:p>
        </w:tc>
        <w:tc>
          <w:tcPr>
            <w:tcW w:type="dxa" w:w="1440"/>
            <w:tcMar>
              <w:top w:w="80" w:type="dxa"/>
              <w:bottom w:w="80" w:type="dxa"/>
              <w:left w:w="120" w:type="dxa"/>
              <w:right w:w="120" w:type="dxa"/>
            </w:tcMar>
          </w:tcPr>
          <w:p>
            <w:pPr>
              <w:spacing w:after="40" w:line="240" w:lineRule="auto"/>
              <w:jc w:val="right"/>
            </w:pPr>
            <w:r>
              <w:t>S/. 1,500.00</w:t>
            </w:r>
          </w:p>
        </w:tc>
      </w:tr>
      <w:tr>
        <w:tc>
          <w:tcPr>
            <w:tcW w:type="dxa" w:w="2592"/>
            <w:shd w:fill="FAFAFA"/>
            <w:tcMar>
              <w:top w:w="80" w:type="dxa"/>
              <w:bottom w:w="80" w:type="dxa"/>
              <w:left w:w="120" w:type="dxa"/>
              <w:right w:w="120" w:type="dxa"/>
            </w:tcMar>
          </w:tcPr>
          <w:p>
            <w:pPr>
              <w:spacing w:after="40" w:line="240" w:lineRule="auto"/>
              <w:jc w:val="left"/>
            </w:pPr>
            <w:r>
              <w:t>2. Diseño UX/UI</w:t>
            </w:r>
          </w:p>
        </w:tc>
        <w:tc>
          <w:tcPr>
            <w:tcW w:type="dxa" w:w="3888"/>
            <w:shd w:fill="FAFAFA"/>
            <w:tcMar>
              <w:top w:w="80" w:type="dxa"/>
              <w:bottom w:w="80" w:type="dxa"/>
              <w:left w:w="120" w:type="dxa"/>
              <w:right w:w="120" w:type="dxa"/>
            </w:tcMar>
          </w:tcPr>
          <w:p>
            <w:pPr>
              <w:spacing w:after="40" w:line="240" w:lineRule="auto"/>
              <w:jc w:val="left"/>
            </w:pPr>
            <w:r>
              <w:t>Prototipado interactivo y hojas de estilo premium responsivas</w:t>
            </w:r>
          </w:p>
        </w:tc>
        <w:tc>
          <w:tcPr>
            <w:tcW w:type="dxa" w:w="1440"/>
            <w:shd w:fill="FAFAFA"/>
            <w:tcMar>
              <w:top w:w="80" w:type="dxa"/>
              <w:bottom w:w="80" w:type="dxa"/>
              <w:left w:w="120" w:type="dxa"/>
              <w:right w:w="120" w:type="dxa"/>
            </w:tcMar>
          </w:tcPr>
          <w:p>
            <w:pPr>
              <w:spacing w:after="40" w:line="240" w:lineRule="auto"/>
              <w:jc w:val="right"/>
            </w:pPr>
            <w:r>
              <w:t>80</w:t>
            </w:r>
          </w:p>
        </w:tc>
        <w:tc>
          <w:tcPr>
            <w:tcW w:type="dxa" w:w="1440"/>
            <w:shd w:fill="FAFAFA"/>
            <w:tcMar>
              <w:top w:w="80" w:type="dxa"/>
              <w:bottom w:w="80" w:type="dxa"/>
              <w:left w:w="120" w:type="dxa"/>
              <w:right w:w="120" w:type="dxa"/>
            </w:tcMar>
          </w:tcPr>
          <w:p>
            <w:pPr>
              <w:spacing w:after="40" w:line="240" w:lineRule="auto"/>
              <w:jc w:val="right"/>
            </w:pPr>
            <w:r>
              <w:t>S/. 1,500.00</w:t>
            </w:r>
          </w:p>
        </w:tc>
      </w:tr>
      <w:tr>
        <w:tc>
          <w:tcPr>
            <w:tcW w:type="dxa" w:w="2592"/>
            <w:tcMar>
              <w:top w:w="80" w:type="dxa"/>
              <w:bottom w:w="80" w:type="dxa"/>
              <w:left w:w="120" w:type="dxa"/>
              <w:right w:w="120" w:type="dxa"/>
            </w:tcMar>
          </w:tcPr>
          <w:p>
            <w:pPr>
              <w:spacing w:after="40" w:line="240" w:lineRule="auto"/>
              <w:jc w:val="left"/>
            </w:pPr>
            <w:r>
              <w:t>3. Programación Core</w:t>
            </w:r>
          </w:p>
        </w:tc>
        <w:tc>
          <w:tcPr>
            <w:tcW w:type="dxa" w:w="3888"/>
            <w:tcMar>
              <w:top w:w="80" w:type="dxa"/>
              <w:bottom w:w="80" w:type="dxa"/>
              <w:left w:w="120" w:type="dxa"/>
              <w:right w:w="120" w:type="dxa"/>
            </w:tcMar>
          </w:tcPr>
          <w:p>
            <w:pPr>
              <w:spacing w:after="40" w:line="240" w:lineRule="auto"/>
              <w:jc w:val="left"/>
            </w:pPr>
            <w:r>
              <w:t>Desarrollo del Frontend, Backend (PHP) y Base de Datos (MySQL)</w:t>
            </w:r>
          </w:p>
        </w:tc>
        <w:tc>
          <w:tcPr>
            <w:tcW w:type="dxa" w:w="1440"/>
            <w:tcMar>
              <w:top w:w="80" w:type="dxa"/>
              <w:bottom w:w="80" w:type="dxa"/>
              <w:left w:w="120" w:type="dxa"/>
              <w:right w:w="120" w:type="dxa"/>
            </w:tcMar>
          </w:tcPr>
          <w:p>
            <w:pPr>
              <w:spacing w:after="40" w:line="240" w:lineRule="auto"/>
              <w:jc w:val="right"/>
            </w:pPr>
            <w:r>
              <w:t>260</w:t>
            </w:r>
          </w:p>
        </w:tc>
        <w:tc>
          <w:tcPr>
            <w:tcW w:type="dxa" w:w="1440"/>
            <w:tcMar>
              <w:top w:w="80" w:type="dxa"/>
              <w:bottom w:w="80" w:type="dxa"/>
              <w:left w:w="120" w:type="dxa"/>
              <w:right w:w="120" w:type="dxa"/>
            </w:tcMar>
          </w:tcPr>
          <w:p>
            <w:pPr>
              <w:spacing w:after="40" w:line="240" w:lineRule="auto"/>
              <w:jc w:val="right"/>
            </w:pPr>
            <w:r>
              <w:t>S/. 9,000.00</w:t>
            </w:r>
          </w:p>
        </w:tc>
      </w:tr>
      <w:tr>
        <w:tc>
          <w:tcPr>
            <w:tcW w:type="dxa" w:w="2592"/>
            <w:shd w:fill="FAFAFA"/>
            <w:tcMar>
              <w:top w:w="80" w:type="dxa"/>
              <w:bottom w:w="80" w:type="dxa"/>
              <w:left w:w="120" w:type="dxa"/>
              <w:right w:w="120" w:type="dxa"/>
            </w:tcMar>
          </w:tcPr>
          <w:p>
            <w:pPr>
              <w:spacing w:after="40" w:line="240" w:lineRule="auto"/>
              <w:jc w:val="left"/>
            </w:pPr>
            <w:r>
              <w:t>4. QA y Pruebas</w:t>
            </w:r>
          </w:p>
        </w:tc>
        <w:tc>
          <w:tcPr>
            <w:tcW w:type="dxa" w:w="3888"/>
            <w:shd w:fill="FAFAFA"/>
            <w:tcMar>
              <w:top w:w="80" w:type="dxa"/>
              <w:bottom w:w="80" w:type="dxa"/>
              <w:left w:w="120" w:type="dxa"/>
              <w:right w:w="120" w:type="dxa"/>
            </w:tcMar>
          </w:tcPr>
          <w:p>
            <w:pPr>
              <w:spacing w:after="40" w:line="240" w:lineRule="auto"/>
              <w:jc w:val="left"/>
            </w:pPr>
            <w:r>
              <w:t>Pruebas de seguridad SQLi/XSS, validación de flujos y Kardex</w:t>
            </w:r>
          </w:p>
        </w:tc>
        <w:tc>
          <w:tcPr>
            <w:tcW w:type="dxa" w:w="1440"/>
            <w:shd w:fill="FAFAFA"/>
            <w:tcMar>
              <w:top w:w="80" w:type="dxa"/>
              <w:bottom w:w="80" w:type="dxa"/>
              <w:left w:w="120" w:type="dxa"/>
              <w:right w:w="120" w:type="dxa"/>
            </w:tcMar>
          </w:tcPr>
          <w:p>
            <w:pPr>
              <w:spacing w:after="40" w:line="240" w:lineRule="auto"/>
              <w:jc w:val="right"/>
            </w:pPr>
            <w:r>
              <w:t>60</w:t>
            </w:r>
          </w:p>
        </w:tc>
        <w:tc>
          <w:tcPr>
            <w:tcW w:type="dxa" w:w="1440"/>
            <w:shd w:fill="FAFAFA"/>
            <w:tcMar>
              <w:top w:w="80" w:type="dxa"/>
              <w:bottom w:w="80" w:type="dxa"/>
              <w:left w:w="120" w:type="dxa"/>
              <w:right w:w="120" w:type="dxa"/>
            </w:tcMar>
          </w:tcPr>
          <w:p>
            <w:pPr>
              <w:spacing w:after="40" w:line="240" w:lineRule="auto"/>
              <w:jc w:val="right"/>
            </w:pPr>
            <w:r>
              <w:t>S/. 1,500.00</w:t>
            </w:r>
          </w:p>
        </w:tc>
      </w:tr>
      <w:tr>
        <w:tc>
          <w:tcPr>
            <w:tcW w:type="dxa" w:w="2592"/>
            <w:tcMar>
              <w:top w:w="80" w:type="dxa"/>
              <w:bottom w:w="80" w:type="dxa"/>
              <w:left w:w="120" w:type="dxa"/>
              <w:right w:w="120" w:type="dxa"/>
            </w:tcMar>
          </w:tcPr>
          <w:p>
            <w:pPr>
              <w:spacing w:after="40" w:line="240" w:lineRule="auto"/>
              <w:jc w:val="left"/>
            </w:pPr>
            <w:r>
              <w:t>5. Despliegue e Implantación</w:t>
            </w:r>
          </w:p>
        </w:tc>
        <w:tc>
          <w:tcPr>
            <w:tcW w:type="dxa" w:w="3888"/>
            <w:tcMar>
              <w:top w:w="80" w:type="dxa"/>
              <w:bottom w:w="80" w:type="dxa"/>
              <w:left w:w="120" w:type="dxa"/>
              <w:right w:w="120" w:type="dxa"/>
            </w:tcMar>
          </w:tcPr>
          <w:p>
            <w:pPr>
              <w:spacing w:after="40" w:line="240" w:lineRule="auto"/>
              <w:jc w:val="left"/>
            </w:pPr>
            <w:r>
              <w:t>Migración de XAMPP a nube, carga de datos y capacitación</w:t>
            </w:r>
          </w:p>
        </w:tc>
        <w:tc>
          <w:tcPr>
            <w:tcW w:type="dxa" w:w="1440"/>
            <w:tcMar>
              <w:top w:w="80" w:type="dxa"/>
              <w:bottom w:w="80" w:type="dxa"/>
              <w:left w:w="120" w:type="dxa"/>
              <w:right w:w="120" w:type="dxa"/>
            </w:tcMar>
          </w:tcPr>
          <w:p>
            <w:pPr>
              <w:spacing w:after="40" w:line="240" w:lineRule="auto"/>
              <w:jc w:val="right"/>
            </w:pPr>
            <w:r>
              <w:t>50</w:t>
            </w:r>
          </w:p>
        </w:tc>
        <w:tc>
          <w:tcPr>
            <w:tcW w:type="dxa" w:w="1440"/>
            <w:tcMar>
              <w:top w:w="80" w:type="dxa"/>
              <w:bottom w:w="80" w:type="dxa"/>
              <w:left w:w="120" w:type="dxa"/>
              <w:right w:w="120" w:type="dxa"/>
            </w:tcMar>
          </w:tcPr>
          <w:p>
            <w:pPr>
              <w:spacing w:after="40" w:line="240" w:lineRule="auto"/>
              <w:jc w:val="right"/>
            </w:pPr>
            <w:r>
              <w:t>S/. 1,500.00</w:t>
            </w:r>
          </w:p>
        </w:tc>
      </w:tr>
      <w:tr>
        <w:tc>
          <w:tcPr>
            <w:tcW w:type="dxa" w:w="2592"/>
            <w:shd w:fill="F2E9E9"/>
            <w:tcMar>
              <w:top w:w="80" w:type="dxa"/>
              <w:bottom w:w="80" w:type="dxa"/>
              <w:left w:w="120" w:type="dxa"/>
              <w:right w:w="120" w:type="dxa"/>
            </w:tcMar>
          </w:tcPr>
          <w:p>
            <w:pPr>
              <w:spacing w:after="40" w:line="240" w:lineRule="auto"/>
              <w:jc w:val="left"/>
            </w:pPr>
            <w:r>
              <w:rPr>
                <w:b/>
              </w:rPr>
              <w:t>TOTAL CAPEX (Inversión)</w:t>
            </w:r>
          </w:p>
        </w:tc>
        <w:tc>
          <w:tcPr>
            <w:tcW w:type="dxa" w:w="3888"/>
            <w:shd w:fill="F2E9E9"/>
            <w:tcMar>
              <w:top w:w="80" w:type="dxa"/>
              <w:bottom w:w="80" w:type="dxa"/>
              <w:left w:w="120" w:type="dxa"/>
              <w:right w:w="120" w:type="dxa"/>
            </w:tcMar>
          </w:tcPr>
          <w:p>
            <w:pPr>
              <w:spacing w:after="40" w:line="240" w:lineRule="auto"/>
              <w:jc w:val="left"/>
            </w:pPr>
            <w:r>
              <w:rPr>
                <w:b/>
              </w:rPr>
              <w:t>Esfuerzo de ingeniería total requerido</w:t>
            </w:r>
          </w:p>
        </w:tc>
        <w:tc>
          <w:tcPr>
            <w:tcW w:type="dxa" w:w="1440"/>
            <w:shd w:fill="F2E9E9"/>
            <w:tcMar>
              <w:top w:w="80" w:type="dxa"/>
              <w:bottom w:w="80" w:type="dxa"/>
              <w:left w:w="120" w:type="dxa"/>
              <w:right w:w="120" w:type="dxa"/>
            </w:tcMar>
          </w:tcPr>
          <w:p>
            <w:pPr>
              <w:spacing w:after="40" w:line="240" w:lineRule="auto"/>
              <w:jc w:val="right"/>
            </w:pPr>
            <w:r>
              <w:rPr>
                <w:b/>
              </w:rPr>
              <w:t>510</w:t>
            </w:r>
          </w:p>
        </w:tc>
        <w:tc>
          <w:tcPr>
            <w:tcW w:type="dxa" w:w="1440"/>
            <w:shd w:fill="F2E9E9"/>
            <w:tcMar>
              <w:top w:w="80" w:type="dxa"/>
              <w:bottom w:w="80" w:type="dxa"/>
              <w:left w:w="120" w:type="dxa"/>
              <w:right w:w="120" w:type="dxa"/>
            </w:tcMar>
          </w:tcPr>
          <w:p>
            <w:pPr>
              <w:spacing w:after="40" w:line="240" w:lineRule="auto"/>
              <w:jc w:val="right"/>
            </w:pPr>
            <w:r>
              <w:rPr>
                <w:b/>
              </w:rPr>
              <w:t>S/. 15,000.00</w:t>
            </w:r>
          </w:p>
        </w:tc>
      </w:tr>
    </w:tbl>
    <w:p>
      <w:pPr>
        <w:spacing w:after="120"/>
      </w:pPr>
    </w:p>
    <w:p>
      <w:pPr>
        <w:spacing w:before="240" w:after="120"/>
      </w:pPr>
      <w:r>
        <w:rPr>
          <w:b/>
          <w:color w:val="333333"/>
          <w:sz w:val="24"/>
        </w:rPr>
        <w:t>2.2. Costos de Operación y Soporte Tecnológico Anual (OpEx)</w:t>
      </w:r>
    </w:p>
    <w:p>
      <w:r>
        <w:t>Corresponde a los costos fijos recurrentes que Carpicenter asumirá anualmente para alojar el sistema web y bases de datos. Se ha optado por proveedores de nube económicos y óptimos para pequeñas empresas (ej. Hostinger VPS o DigitalOcean Starter), lo que permite reducir el costo mensual sustancialmente.</w:t>
      </w:r>
    </w:p>
    <w:tbl>
      <w:tblPr>
        <w:tblW w:type="auto" w:w="0"/>
        <w:jc w:val="center"/>
        <w:tblLook w:firstColumn="1" w:firstRow="1" w:lastColumn="0" w:lastRow="0" w:noHBand="0" w:noVBand="1" w:val="04A0"/>
      </w:tblPr>
      <w:tblGrid>
        <w:gridCol w:w="2340"/>
        <w:gridCol w:w="2340"/>
        <w:gridCol w:w="2340"/>
        <w:gridCol w:w="2340"/>
      </w:tblGrid>
      <w:tr>
        <w:tc>
          <w:tcPr>
            <w:tcW w:type="dxa" w:w="2592"/>
            <w:shd w:fill="9E2A2B"/>
            <w:tcMar>
              <w:top w:w="120" w:type="dxa"/>
              <w:bottom w:w="120" w:type="dxa"/>
              <w:left w:w="150" w:type="dxa"/>
              <w:right w:w="150" w:type="dxa"/>
            </w:tcMar>
          </w:tcPr>
          <w:p>
            <w:pPr>
              <w:jc w:val="center"/>
            </w:pPr>
            <w:r>
              <w:rPr>
                <w:b/>
                <w:color w:val="FFFFFF"/>
              </w:rPr>
              <w:t>Concepto del Gasto</w:t>
            </w:r>
          </w:p>
        </w:tc>
        <w:tc>
          <w:tcPr>
            <w:tcW w:type="dxa" w:w="3888"/>
            <w:shd w:fill="9E2A2B"/>
            <w:tcMar>
              <w:top w:w="120" w:type="dxa"/>
              <w:bottom w:w="120" w:type="dxa"/>
              <w:left w:w="150" w:type="dxa"/>
              <w:right w:w="150" w:type="dxa"/>
            </w:tcMar>
          </w:tcPr>
          <w:p>
            <w:pPr>
              <w:jc w:val="center"/>
            </w:pPr>
            <w:r>
              <w:rPr>
                <w:b/>
                <w:color w:val="FFFFFF"/>
              </w:rPr>
              <w:t>Especificación y Proveedor</w:t>
            </w:r>
          </w:p>
        </w:tc>
        <w:tc>
          <w:tcPr>
            <w:tcW w:type="dxa" w:w="1440"/>
            <w:shd w:fill="9E2A2B"/>
            <w:tcMar>
              <w:top w:w="120" w:type="dxa"/>
              <w:bottom w:w="120" w:type="dxa"/>
              <w:left w:w="150" w:type="dxa"/>
              <w:right w:w="150" w:type="dxa"/>
            </w:tcMar>
          </w:tcPr>
          <w:p>
            <w:pPr>
              <w:jc w:val="center"/>
            </w:pPr>
            <w:r>
              <w:rPr>
                <w:b/>
                <w:color w:val="FFFFFF"/>
              </w:rPr>
              <w:t>Frecuencia</w:t>
            </w:r>
          </w:p>
        </w:tc>
        <w:tc>
          <w:tcPr>
            <w:tcW w:type="dxa" w:w="1440"/>
            <w:shd w:fill="9E2A2B"/>
            <w:tcMar>
              <w:top w:w="120" w:type="dxa"/>
              <w:bottom w:w="120" w:type="dxa"/>
              <w:left w:w="150" w:type="dxa"/>
              <w:right w:w="150" w:type="dxa"/>
            </w:tcMar>
          </w:tcPr>
          <w:p>
            <w:pPr>
              <w:jc w:val="center"/>
            </w:pPr>
            <w:r>
              <w:rPr>
                <w:b/>
                <w:color w:val="FFFFFF"/>
              </w:rPr>
              <w:t>Costo Anualizado (S/.)</w:t>
            </w:r>
          </w:p>
        </w:tc>
      </w:tr>
      <w:tr>
        <w:tc>
          <w:tcPr>
            <w:tcW w:type="dxa" w:w="2592"/>
            <w:tcMar>
              <w:top w:w="80" w:type="dxa"/>
              <w:bottom w:w="80" w:type="dxa"/>
              <w:left w:w="120" w:type="dxa"/>
              <w:right w:w="120" w:type="dxa"/>
            </w:tcMar>
          </w:tcPr>
          <w:p>
            <w:pPr>
              <w:spacing w:after="40" w:line="240" w:lineRule="auto"/>
              <w:jc w:val="left"/>
            </w:pPr>
            <w:r>
              <w:t>Servidor VPS Nube</w:t>
            </w:r>
          </w:p>
        </w:tc>
        <w:tc>
          <w:tcPr>
            <w:tcW w:type="dxa" w:w="3888"/>
            <w:tcMar>
              <w:top w:w="80" w:type="dxa"/>
              <w:bottom w:w="80" w:type="dxa"/>
              <w:left w:w="120" w:type="dxa"/>
              <w:right w:w="120" w:type="dxa"/>
            </w:tcMar>
          </w:tcPr>
          <w:p>
            <w:pPr>
              <w:spacing w:after="40" w:line="240" w:lineRule="auto"/>
              <w:jc w:val="left"/>
            </w:pPr>
            <w:r>
              <w:t>Alojamiento web y Base de Datos (1 Core, 2GB RAM, SSD)</w:t>
            </w:r>
          </w:p>
        </w:tc>
        <w:tc>
          <w:tcPr>
            <w:tcW w:type="dxa" w:w="1440"/>
            <w:tcMar>
              <w:top w:w="80" w:type="dxa"/>
              <w:bottom w:w="80" w:type="dxa"/>
              <w:left w:w="120" w:type="dxa"/>
              <w:right w:w="120" w:type="dxa"/>
            </w:tcMar>
          </w:tcPr>
          <w:p>
            <w:pPr>
              <w:spacing w:after="40" w:line="240" w:lineRule="auto"/>
              <w:jc w:val="left"/>
            </w:pPr>
            <w:r>
              <w:t>Mensual (S/. 25)</w:t>
            </w:r>
          </w:p>
        </w:tc>
        <w:tc>
          <w:tcPr>
            <w:tcW w:type="dxa" w:w="1440"/>
            <w:tcMar>
              <w:top w:w="80" w:type="dxa"/>
              <w:bottom w:w="80" w:type="dxa"/>
              <w:left w:w="120" w:type="dxa"/>
              <w:right w:w="120" w:type="dxa"/>
            </w:tcMar>
          </w:tcPr>
          <w:p>
            <w:pPr>
              <w:spacing w:after="40" w:line="240" w:lineRule="auto"/>
              <w:jc w:val="right"/>
            </w:pPr>
            <w:r>
              <w:t>S/. 300.00</w:t>
            </w:r>
          </w:p>
        </w:tc>
      </w:tr>
      <w:tr>
        <w:tc>
          <w:tcPr>
            <w:tcW w:type="dxa" w:w="2592"/>
            <w:shd w:fill="FAFAFA"/>
            <w:tcMar>
              <w:top w:w="80" w:type="dxa"/>
              <w:bottom w:w="80" w:type="dxa"/>
              <w:left w:w="120" w:type="dxa"/>
              <w:right w:w="120" w:type="dxa"/>
            </w:tcMar>
          </w:tcPr>
          <w:p>
            <w:pPr>
              <w:spacing w:after="40" w:line="240" w:lineRule="auto"/>
              <w:jc w:val="left"/>
            </w:pPr>
            <w:r>
              <w:t>Dominio Web Oficial</w:t>
            </w:r>
          </w:p>
        </w:tc>
        <w:tc>
          <w:tcPr>
            <w:tcW w:type="dxa" w:w="3888"/>
            <w:shd w:fill="FAFAFA"/>
            <w:tcMar>
              <w:top w:w="80" w:type="dxa"/>
              <w:bottom w:w="80" w:type="dxa"/>
              <w:left w:w="120" w:type="dxa"/>
              <w:right w:w="120" w:type="dxa"/>
            </w:tcMar>
          </w:tcPr>
          <w:p>
            <w:pPr>
              <w:spacing w:after="40" w:line="240" w:lineRule="auto"/>
              <w:jc w:val="left"/>
            </w:pPr>
            <w:r>
              <w:t>Registro del dominio '.com.pe' o '.pe' (NIC.pe)</w:t>
            </w:r>
          </w:p>
        </w:tc>
        <w:tc>
          <w:tcPr>
            <w:tcW w:type="dxa" w:w="1440"/>
            <w:shd w:fill="FAFAFA"/>
            <w:tcMar>
              <w:top w:w="80" w:type="dxa"/>
              <w:bottom w:w="80" w:type="dxa"/>
              <w:left w:w="120" w:type="dxa"/>
              <w:right w:w="120" w:type="dxa"/>
            </w:tcMar>
          </w:tcPr>
          <w:p>
            <w:pPr>
              <w:spacing w:after="40" w:line="240" w:lineRule="auto"/>
              <w:jc w:val="left"/>
            </w:pPr>
            <w:r>
              <w:t>Anual</w:t>
            </w:r>
          </w:p>
        </w:tc>
        <w:tc>
          <w:tcPr>
            <w:tcW w:type="dxa" w:w="1440"/>
            <w:shd w:fill="FAFAFA"/>
            <w:tcMar>
              <w:top w:w="80" w:type="dxa"/>
              <w:bottom w:w="80" w:type="dxa"/>
              <w:left w:w="120" w:type="dxa"/>
              <w:right w:w="120" w:type="dxa"/>
            </w:tcMar>
          </w:tcPr>
          <w:p>
            <w:pPr>
              <w:spacing w:after="40" w:line="240" w:lineRule="auto"/>
              <w:jc w:val="right"/>
            </w:pPr>
            <w:r>
              <w:t>S/. 110.00</w:t>
            </w:r>
          </w:p>
        </w:tc>
      </w:tr>
      <w:tr>
        <w:tc>
          <w:tcPr>
            <w:tcW w:type="dxa" w:w="2592"/>
            <w:tcMar>
              <w:top w:w="80" w:type="dxa"/>
              <w:bottom w:w="80" w:type="dxa"/>
              <w:left w:w="120" w:type="dxa"/>
              <w:right w:w="120" w:type="dxa"/>
            </w:tcMar>
          </w:tcPr>
          <w:p>
            <w:pPr>
              <w:spacing w:after="40" w:line="240" w:lineRule="auto"/>
              <w:jc w:val="left"/>
            </w:pPr>
            <w:r>
              <w:t>Certificado SSL</w:t>
            </w:r>
          </w:p>
        </w:tc>
        <w:tc>
          <w:tcPr>
            <w:tcW w:type="dxa" w:w="3888"/>
            <w:tcMar>
              <w:top w:w="80" w:type="dxa"/>
              <w:bottom w:w="80" w:type="dxa"/>
              <w:left w:w="120" w:type="dxa"/>
              <w:right w:w="120" w:type="dxa"/>
            </w:tcMar>
          </w:tcPr>
          <w:p>
            <w:pPr>
              <w:spacing w:after="40" w:line="240" w:lineRule="auto"/>
              <w:jc w:val="left"/>
            </w:pPr>
            <w:r>
              <w:t>Seguridad HTTPS encriptada Let's Encrypt</w:t>
            </w:r>
          </w:p>
        </w:tc>
        <w:tc>
          <w:tcPr>
            <w:tcW w:type="dxa" w:w="1440"/>
            <w:tcMar>
              <w:top w:w="80" w:type="dxa"/>
              <w:bottom w:w="80" w:type="dxa"/>
              <w:left w:w="120" w:type="dxa"/>
              <w:right w:w="120" w:type="dxa"/>
            </w:tcMar>
          </w:tcPr>
          <w:p>
            <w:pPr>
              <w:spacing w:after="40" w:line="240" w:lineRule="auto"/>
              <w:jc w:val="left"/>
            </w:pPr>
            <w:r>
              <w:t>Gratuito</w:t>
            </w:r>
          </w:p>
        </w:tc>
        <w:tc>
          <w:tcPr>
            <w:tcW w:type="dxa" w:w="1440"/>
            <w:tcMar>
              <w:top w:w="80" w:type="dxa"/>
              <w:bottom w:w="80" w:type="dxa"/>
              <w:left w:w="120" w:type="dxa"/>
              <w:right w:w="120" w:type="dxa"/>
            </w:tcMar>
          </w:tcPr>
          <w:p>
            <w:pPr>
              <w:spacing w:after="40" w:line="240" w:lineRule="auto"/>
              <w:jc w:val="right"/>
            </w:pPr>
            <w:r>
              <w:t>S/. 0.00</w:t>
            </w:r>
          </w:p>
        </w:tc>
      </w:tr>
      <w:tr>
        <w:tc>
          <w:tcPr>
            <w:tcW w:type="dxa" w:w="2592"/>
            <w:shd w:fill="FAFAFA"/>
            <w:tcMar>
              <w:top w:w="80" w:type="dxa"/>
              <w:bottom w:w="80" w:type="dxa"/>
              <w:left w:w="120" w:type="dxa"/>
              <w:right w:w="120" w:type="dxa"/>
            </w:tcMar>
          </w:tcPr>
          <w:p>
            <w:pPr>
              <w:spacing w:after="40" w:line="240" w:lineRule="auto"/>
              <w:jc w:val="left"/>
            </w:pPr>
            <w:r>
              <w:t>API Consulta RUC/DNI</w:t>
            </w:r>
          </w:p>
        </w:tc>
        <w:tc>
          <w:tcPr>
            <w:tcW w:type="dxa" w:w="3888"/>
            <w:shd w:fill="FAFAFA"/>
            <w:tcMar>
              <w:top w:w="80" w:type="dxa"/>
              <w:bottom w:w="80" w:type="dxa"/>
              <w:left w:w="120" w:type="dxa"/>
              <w:right w:w="120" w:type="dxa"/>
            </w:tcMar>
          </w:tcPr>
          <w:p>
            <w:pPr>
              <w:spacing w:after="40" w:line="240" w:lineRule="auto"/>
              <w:jc w:val="left"/>
            </w:pPr>
            <w:r>
              <w:t>Integración automática de datos Sunat (200 consultas/mes)</w:t>
            </w:r>
          </w:p>
        </w:tc>
        <w:tc>
          <w:tcPr>
            <w:tcW w:type="dxa" w:w="1440"/>
            <w:shd w:fill="FAFAFA"/>
            <w:tcMar>
              <w:top w:w="80" w:type="dxa"/>
              <w:bottom w:w="80" w:type="dxa"/>
              <w:left w:w="120" w:type="dxa"/>
              <w:right w:w="120" w:type="dxa"/>
            </w:tcMar>
          </w:tcPr>
          <w:p>
            <w:pPr>
              <w:spacing w:after="40" w:line="240" w:lineRule="auto"/>
              <w:jc w:val="left"/>
            </w:pPr>
            <w:r>
              <w:t>Mensual (S/. 20)</w:t>
            </w:r>
          </w:p>
        </w:tc>
        <w:tc>
          <w:tcPr>
            <w:tcW w:type="dxa" w:w="1440"/>
            <w:shd w:fill="FAFAFA"/>
            <w:tcMar>
              <w:top w:w="80" w:type="dxa"/>
              <w:bottom w:w="80" w:type="dxa"/>
              <w:left w:w="120" w:type="dxa"/>
              <w:right w:w="120" w:type="dxa"/>
            </w:tcMar>
          </w:tcPr>
          <w:p>
            <w:pPr>
              <w:spacing w:after="40" w:line="240" w:lineRule="auto"/>
              <w:jc w:val="right"/>
            </w:pPr>
            <w:r>
              <w:t>S/. 240.00</w:t>
            </w:r>
          </w:p>
        </w:tc>
      </w:tr>
      <w:tr>
        <w:tc>
          <w:tcPr>
            <w:tcW w:type="dxa" w:w="2592"/>
            <w:tcMar>
              <w:top w:w="80" w:type="dxa"/>
              <w:bottom w:w="80" w:type="dxa"/>
              <w:left w:w="120" w:type="dxa"/>
              <w:right w:w="120" w:type="dxa"/>
            </w:tcMar>
          </w:tcPr>
          <w:p>
            <w:pPr>
              <w:spacing w:after="40" w:line="240" w:lineRule="auto"/>
              <w:jc w:val="left"/>
            </w:pPr>
            <w:r>
              <w:t>Soporte y Respaldo</w:t>
            </w:r>
          </w:p>
        </w:tc>
        <w:tc>
          <w:tcPr>
            <w:tcW w:type="dxa" w:w="3888"/>
            <w:tcMar>
              <w:top w:w="80" w:type="dxa"/>
              <w:bottom w:w="80" w:type="dxa"/>
              <w:left w:w="120" w:type="dxa"/>
              <w:right w:w="120" w:type="dxa"/>
            </w:tcMar>
          </w:tcPr>
          <w:p>
            <w:pPr>
              <w:spacing w:after="40" w:line="240" w:lineRule="auto"/>
              <w:jc w:val="left"/>
            </w:pPr>
            <w:r>
              <w:t>Mantenimiento básico correctivo y copias de seguridad de BD</w:t>
            </w:r>
          </w:p>
        </w:tc>
        <w:tc>
          <w:tcPr>
            <w:tcW w:type="dxa" w:w="1440"/>
            <w:tcMar>
              <w:top w:w="80" w:type="dxa"/>
              <w:bottom w:w="80" w:type="dxa"/>
              <w:left w:w="120" w:type="dxa"/>
              <w:right w:w="120" w:type="dxa"/>
            </w:tcMar>
          </w:tcPr>
          <w:p>
            <w:pPr>
              <w:spacing w:after="40" w:line="240" w:lineRule="auto"/>
              <w:jc w:val="left"/>
            </w:pPr>
            <w:r>
              <w:t>Anual</w:t>
            </w:r>
          </w:p>
        </w:tc>
        <w:tc>
          <w:tcPr>
            <w:tcW w:type="dxa" w:w="1440"/>
            <w:tcMar>
              <w:top w:w="80" w:type="dxa"/>
              <w:bottom w:w="80" w:type="dxa"/>
              <w:left w:w="120" w:type="dxa"/>
              <w:right w:w="120" w:type="dxa"/>
            </w:tcMar>
          </w:tcPr>
          <w:p>
            <w:pPr>
              <w:spacing w:after="40" w:line="240" w:lineRule="auto"/>
              <w:jc w:val="right"/>
            </w:pPr>
            <w:r>
              <w:t>S/. 500.00</w:t>
            </w:r>
          </w:p>
        </w:tc>
      </w:tr>
    </w:tbl>
    <w:p>
      <w:pPr>
        <w:spacing w:after="40"/>
      </w:pPr>
    </w:p>
    <w:p>
      <w:pPr>
        <w:jc w:val="right"/>
      </w:pPr>
      <w:r>
        <w:rPr>
          <w:b/>
          <w:color w:val="9E2A2B"/>
        </w:rPr>
        <w:t>COSTO TOTAL OPERATIVO ANUAL (OpEx): S/. 1,150.00</w:t>
      </w:r>
    </w:p>
    <w:p>
      <w:pPr>
        <w:spacing w:before="240" w:after="120"/>
      </w:pPr>
      <w:r>
        <w:rPr>
          <w:b/>
          <w:color w:val="333333"/>
          <w:sz w:val="24"/>
        </w:rPr>
        <w:t>2.3. Consolidado de Inversión Inicial (Año 0)</w:t>
      </w:r>
    </w:p>
    <w:p>
      <w:r>
        <w:t>El gasto total inicial para el lanzamiento del sistema (Año 0) incluye la inversión en desarrollo de software (CapEx), el primer año de infraestructura pagado por adelantado para asegurar la continuidad de operaciones (OpEx Año 1), y un 10% de contingencia sobre el desarrollo para amortiguar cualquier requerimiento imprevisto durante el despliegue.</w:t>
      </w:r>
    </w:p>
    <w:tbl>
      <w:tblPr>
        <w:tblW w:type="auto" w:w="0"/>
        <w:jc w:val="center"/>
        <w:tblLook w:firstColumn="1" w:firstRow="1" w:lastColumn="0" w:lastRow="0" w:noHBand="0" w:noVBand="1" w:val="04A0"/>
      </w:tblPr>
      <w:tblGrid>
        <w:gridCol w:w="4680"/>
        <w:gridCol w:w="4680"/>
      </w:tblGrid>
      <w:tr>
        <w:tc>
          <w:tcPr>
            <w:tcW w:type="dxa" w:w="6480"/>
            <w:shd w:fill="333333"/>
            <w:tcMar>
              <w:top w:w="100" w:type="dxa"/>
              <w:bottom w:w="100" w:type="dxa"/>
              <w:left w:w="150" w:type="dxa"/>
              <w:right w:w="150" w:type="dxa"/>
            </w:tcMar>
          </w:tcPr>
          <w:p>
            <w:r>
              <w:rPr>
                <w:b/>
                <w:color w:val="FFFFFF"/>
              </w:rPr>
              <w:t>Rubro de Inversión</w:t>
            </w:r>
          </w:p>
        </w:tc>
        <w:tc>
          <w:tcPr>
            <w:tcW w:type="dxa" w:w="2880"/>
            <w:shd w:fill="333333"/>
            <w:tcMar>
              <w:top w:w="100" w:type="dxa"/>
              <w:bottom w:w="100" w:type="dxa"/>
              <w:left w:w="150" w:type="dxa"/>
              <w:right w:w="150" w:type="dxa"/>
            </w:tcMar>
          </w:tcPr>
          <w:p>
            <w:pPr>
              <w:jc w:val="right"/>
            </w:pPr>
            <w:r>
              <w:rPr>
                <w:b/>
                <w:color w:val="FFFFFF"/>
              </w:rPr>
              <w:t>Inversión Requerida (S/.)</w:t>
            </w:r>
          </w:p>
        </w:tc>
      </w:tr>
      <w:tr>
        <w:tc>
          <w:tcPr>
            <w:tcW w:type="dxa" w:w="6480"/>
            <w:tcMar>
              <w:top w:w="80" w:type="dxa"/>
              <w:bottom w:w="80" w:type="dxa"/>
              <w:left w:w="120" w:type="dxa"/>
              <w:right w:w="120" w:type="dxa"/>
            </w:tcMar>
          </w:tcPr>
          <w:p>
            <w:pPr>
              <w:spacing w:after="40"/>
              <w:jc w:val="left"/>
            </w:pPr>
            <w:r>
              <w:t>CapEx (Desarrollo y Diseño de Software)</w:t>
            </w:r>
          </w:p>
        </w:tc>
        <w:tc>
          <w:tcPr>
            <w:tcW w:type="dxa" w:w="2880"/>
            <w:tcMar>
              <w:top w:w="80" w:type="dxa"/>
              <w:bottom w:w="80" w:type="dxa"/>
              <w:left w:w="120" w:type="dxa"/>
              <w:right w:w="120" w:type="dxa"/>
            </w:tcMar>
          </w:tcPr>
          <w:p>
            <w:pPr>
              <w:spacing w:after="40"/>
              <w:jc w:val="right"/>
            </w:pPr>
            <w:r>
              <w:t>S/. 15,000.00</w:t>
            </w:r>
          </w:p>
        </w:tc>
      </w:tr>
      <w:tr>
        <w:tc>
          <w:tcPr>
            <w:tcW w:type="dxa" w:w="6480"/>
            <w:shd w:fill="FAFAFA"/>
            <w:tcMar>
              <w:top w:w="80" w:type="dxa"/>
              <w:bottom w:w="80" w:type="dxa"/>
              <w:left w:w="120" w:type="dxa"/>
              <w:right w:w="120" w:type="dxa"/>
            </w:tcMar>
          </w:tcPr>
          <w:p>
            <w:pPr>
              <w:spacing w:after="40"/>
              <w:jc w:val="left"/>
            </w:pPr>
            <w:r>
              <w:t>OpEx Año 1 (Infraestructura, Dominio y APIs)</w:t>
            </w:r>
          </w:p>
        </w:tc>
        <w:tc>
          <w:tcPr>
            <w:tcW w:type="dxa" w:w="2880"/>
            <w:shd w:fill="FAFAFA"/>
            <w:tcMar>
              <w:top w:w="80" w:type="dxa"/>
              <w:bottom w:w="80" w:type="dxa"/>
              <w:left w:w="120" w:type="dxa"/>
              <w:right w:w="120" w:type="dxa"/>
            </w:tcMar>
          </w:tcPr>
          <w:p>
            <w:pPr>
              <w:spacing w:after="40"/>
              <w:jc w:val="right"/>
            </w:pPr>
            <w:r>
              <w:t>S/. 1,150.00</w:t>
            </w:r>
          </w:p>
        </w:tc>
      </w:tr>
      <w:tr>
        <w:tc>
          <w:tcPr>
            <w:tcW w:type="dxa" w:w="6480"/>
            <w:tcMar>
              <w:top w:w="80" w:type="dxa"/>
              <w:bottom w:w="80" w:type="dxa"/>
              <w:left w:w="120" w:type="dxa"/>
              <w:right w:w="120" w:type="dxa"/>
            </w:tcMar>
          </w:tcPr>
          <w:p>
            <w:pPr>
              <w:spacing w:after="40"/>
              <w:jc w:val="left"/>
            </w:pPr>
            <w:r>
              <w:t>Contingencia (10% de inversión CapEx para imprevistos)</w:t>
            </w:r>
          </w:p>
        </w:tc>
        <w:tc>
          <w:tcPr>
            <w:tcW w:type="dxa" w:w="2880"/>
            <w:tcMar>
              <w:top w:w="80" w:type="dxa"/>
              <w:bottom w:w="80" w:type="dxa"/>
              <w:left w:w="120" w:type="dxa"/>
              <w:right w:w="120" w:type="dxa"/>
            </w:tcMar>
          </w:tcPr>
          <w:p>
            <w:pPr>
              <w:spacing w:after="40"/>
              <w:jc w:val="right"/>
            </w:pPr>
            <w:r>
              <w:t>S/. 1,500.00</w:t>
            </w:r>
          </w:p>
        </w:tc>
      </w:tr>
      <w:tr>
        <w:tc>
          <w:tcPr>
            <w:tcW w:type="dxa" w:w="6480"/>
            <w:shd w:fill="F2E9E9"/>
            <w:tcMar>
              <w:top w:w="80" w:type="dxa"/>
              <w:bottom w:w="80" w:type="dxa"/>
              <w:left w:w="120" w:type="dxa"/>
              <w:right w:w="120" w:type="dxa"/>
            </w:tcMar>
          </w:tcPr>
          <w:p>
            <w:pPr>
              <w:spacing w:after="40"/>
              <w:jc w:val="left"/>
            </w:pPr>
            <w:r>
              <w:rPr>
                <w:b/>
              </w:rPr>
              <w:t>INVERSIÓN TOTAL INICIAL (AÑO 0)</w:t>
            </w:r>
          </w:p>
        </w:tc>
        <w:tc>
          <w:tcPr>
            <w:tcW w:type="dxa" w:w="2880"/>
            <w:shd w:fill="F2E9E9"/>
            <w:tcMar>
              <w:top w:w="80" w:type="dxa"/>
              <w:bottom w:w="80" w:type="dxa"/>
              <w:left w:w="120" w:type="dxa"/>
              <w:right w:w="120" w:type="dxa"/>
            </w:tcMar>
          </w:tcPr>
          <w:p>
            <w:pPr>
              <w:spacing w:after="40"/>
              <w:jc w:val="right"/>
            </w:pPr>
            <w:r>
              <w:rPr>
                <w:b/>
              </w:rPr>
              <w:t>S/. 17,650.00</w:t>
            </w:r>
          </w:p>
        </w:tc>
      </w:tr>
    </w:tbl>
    <w:p>
      <w:pPr>
        <w:spacing w:after="120"/>
      </w:pPr>
    </w:p>
    <w:p>
      <w:pPr>
        <w:spacing w:before="360" w:after="160"/>
      </w:pPr>
      <w:r>
        <w:rPr>
          <w:b/>
          <w:color w:val="9E2A2B"/>
          <w:sz w:val="28"/>
        </w:rPr>
        <w:t>3. Cuantificación de Beneficios del Sistema ERP</w:t>
      </w:r>
    </w:p>
    <w:p>
      <w:r>
        <w:t>Para evaluar la viabilidad, es necesario contrastar el egreso con el flujo de ingresos o ahorros cuantificables generados directamente por la implantación del ERP. En Industrias Carpicenter, que cuenta con una facturación promedio estimada en S/. 30,000.00 mensuales (con márgenes netos de utilidad del 15% equivalentes a S/. 4,500.00), el sistema optimizará procesos clave mitigando ineficiencias financieras actuales:</w:t>
      </w:r>
    </w:p>
    <w:p>
      <w:pPr>
        <w:pStyle w:val="ListBullet"/>
        <w:spacing w:after="80"/>
      </w:pPr>
      <w:r>
        <w:rPr>
          <w:b/>
        </w:rPr>
        <w:t>Ahorro en Tiempos de Búsqueda y Registro Administrativo:</w:t>
      </w:r>
      <w:r>
        <w:t xml:space="preserve"> Con la automatización de la consulta de clientes (API DNI/RUC) y el control de perfiles, el personal administrativo reduce de 2 horas a 15 minutos diarios las labores de búsqueda física y digital de cotizaciones e inventarios. Cálculo: 1.75 horas/día x 26 días/mes x S/. 10.00/hora (costo laboral promedio) = S/. 455.00 mensuales. Se proyecta un impacto real directo de S/. 390.00/mes de ahorro neto en productividad.</w:t>
      </w:r>
    </w:p>
    <w:p>
      <w:pPr>
        <w:pStyle w:val="ListBullet"/>
        <w:spacing w:after="80"/>
      </w:pPr>
      <w:r>
        <w:rPr>
          <w:b/>
        </w:rPr>
        <w:t>Prevención de Pérdidas de Materiales e Insumos (Control de Kardex):</w:t>
      </w:r>
      <w:r>
        <w:t xml:space="preserve"> El descontrol actual en las órdenes de producción causa desperdicio de maderas, accesorios y barnices equivalente al 5% mensual del inventario. El módulo de Kardex y seguimiento de Materiales restringe el stock en base a órdenes exactas de producción. Ahorro estimado en compra de insumos no justificados: S/. 600.00 mensuales.</w:t>
      </w:r>
    </w:p>
    <w:p>
      <w:pPr>
        <w:pStyle w:val="ListBullet"/>
        <w:spacing w:after="80"/>
      </w:pPr>
      <w:r>
        <w:rPr>
          <w:b/>
        </w:rPr>
        <w:t>Reducción de Pedidos Cancelados por Retrasos en la Entrega (Producción):</w:t>
      </w:r>
      <w:r>
        <w:t xml:space="preserve"> Los retrasos por desorganización en el taller conllevan la pérdida de clientes recurrentes o penalizaciones en la cobranza. Con el Módulo de Producción (seguimiento de tiempos y alertas de plazos), se optimizan las entregas, reduciendo las penalizaciones e incrementando la retención de clientes en un estimado de S/. 800.00 mensuales.</w:t>
      </w:r>
    </w:p>
    <w:p>
      <w:pPr>
        <w:spacing w:before="160"/>
        <w:jc w:val="right"/>
      </w:pPr>
      <w:r>
        <w:rPr>
          <w:b/>
          <w:color w:val="9E2A2B"/>
        </w:rPr>
        <w:t>BENEFICIO MENSUAL NETO ESTIMADO: S/. 1,790.00 (S/. 21,480.00 anuales)</w:t>
      </w:r>
    </w:p>
    <w:p>
      <w:pPr>
        <w:spacing w:before="360" w:after="160"/>
      </w:pPr>
      <w:r>
        <w:rPr>
          <w:b/>
          <w:color w:val="9E2A2B"/>
          <w:sz w:val="28"/>
        </w:rPr>
        <w:t>4. Flujo de Caja Neto Proyectado (3 Años)</w:t>
      </w:r>
    </w:p>
    <w:p>
      <w:r>
        <w:t>Para formular el Flujo de Caja, se proyectan los beneficios anuales asumiendo un incremento conservador del 5% anual en los beneficios a partir del Año 2 debido al crecimiento y maduración en el uso del software por parte del personal de la empresa. Asimismo, se proyecta un incremento del 5% anual en los gastos operativos (OpEx) debido a ajustes inflacionarios de los servidores.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3600"/>
            <w:shd w:fill="9E2A2B"/>
            <w:tcMar>
              <w:top w:w="100" w:type="dxa"/>
              <w:bottom w:w="100" w:type="dxa"/>
              <w:left w:w="120" w:type="dxa"/>
              <w:right w:w="120" w:type="dxa"/>
            </w:tcMar>
          </w:tcPr>
          <w:p>
            <w:pPr>
              <w:jc w:val="center"/>
            </w:pPr>
            <w:r>
              <w:rPr>
                <w:b/>
                <w:color w:val="FFFFFF"/>
              </w:rPr>
              <w:t>Concepto / Flujo</w:t>
            </w:r>
          </w:p>
        </w:tc>
        <w:tc>
          <w:tcPr>
            <w:tcW w:type="dxa" w:w="1440"/>
            <w:shd w:fill="9E2A2B"/>
            <w:tcMar>
              <w:top w:w="100" w:type="dxa"/>
              <w:bottom w:w="100" w:type="dxa"/>
              <w:left w:w="120" w:type="dxa"/>
              <w:right w:w="120" w:type="dxa"/>
            </w:tcMar>
          </w:tcPr>
          <w:p>
            <w:pPr>
              <w:jc w:val="center"/>
            </w:pPr>
            <w:r>
              <w:rPr>
                <w:b/>
                <w:color w:val="FFFFFF"/>
              </w:rPr>
              <w:t>Año 0 (Inversión)</w:t>
            </w:r>
          </w:p>
        </w:tc>
        <w:tc>
          <w:tcPr>
            <w:tcW w:type="dxa" w:w="1440"/>
            <w:shd w:fill="9E2A2B"/>
            <w:tcMar>
              <w:top w:w="100" w:type="dxa"/>
              <w:bottom w:w="100" w:type="dxa"/>
              <w:left w:w="120" w:type="dxa"/>
              <w:right w:w="120" w:type="dxa"/>
            </w:tcMar>
          </w:tcPr>
          <w:p>
            <w:pPr>
              <w:jc w:val="center"/>
            </w:pPr>
            <w:r>
              <w:rPr>
                <w:b/>
                <w:color w:val="FFFFFF"/>
              </w:rPr>
              <w:t>Año 1</w:t>
            </w:r>
          </w:p>
        </w:tc>
        <w:tc>
          <w:tcPr>
            <w:tcW w:type="dxa" w:w="1440"/>
            <w:shd w:fill="9E2A2B"/>
            <w:tcMar>
              <w:top w:w="100" w:type="dxa"/>
              <w:bottom w:w="100" w:type="dxa"/>
              <w:left w:w="120" w:type="dxa"/>
              <w:right w:w="120" w:type="dxa"/>
            </w:tcMar>
          </w:tcPr>
          <w:p>
            <w:pPr>
              <w:jc w:val="center"/>
            </w:pPr>
            <w:r>
              <w:rPr>
                <w:b/>
                <w:color w:val="FFFFFF"/>
              </w:rPr>
              <w:t>Año 2</w:t>
            </w:r>
          </w:p>
        </w:tc>
        <w:tc>
          <w:tcPr>
            <w:tcW w:type="dxa" w:w="1440"/>
            <w:shd w:fill="9E2A2B"/>
            <w:tcMar>
              <w:top w:w="100" w:type="dxa"/>
              <w:bottom w:w="100" w:type="dxa"/>
              <w:left w:w="120" w:type="dxa"/>
              <w:right w:w="120" w:type="dxa"/>
            </w:tcMar>
          </w:tcPr>
          <w:p>
            <w:pPr>
              <w:jc w:val="center"/>
            </w:pPr>
            <w:r>
              <w:rPr>
                <w:b/>
                <w:color w:val="FFFFFF"/>
              </w:rPr>
              <w:t>Año 3</w:t>
            </w:r>
          </w:p>
        </w:tc>
      </w:tr>
      <w:tr>
        <w:tc>
          <w:tcPr>
            <w:tcW w:type="dxa" w:w="3600"/>
            <w:tcMar>
              <w:top w:w="80" w:type="dxa"/>
              <w:bottom w:w="80" w:type="dxa"/>
              <w:left w:w="100" w:type="dxa"/>
              <w:right w:w="100" w:type="dxa"/>
            </w:tcMar>
          </w:tcPr>
          <w:p>
            <w:pPr>
              <w:spacing w:after="40"/>
              <w:jc w:val="left"/>
            </w:pPr>
            <w:r>
              <w:t>Ingresos / Beneficios Operativos</w:t>
            </w:r>
          </w:p>
        </w:tc>
        <w:tc>
          <w:tcPr>
            <w:tcW w:type="dxa" w:w="1440"/>
            <w:tcMar>
              <w:top w:w="80" w:type="dxa"/>
              <w:bottom w:w="80" w:type="dxa"/>
              <w:left w:w="100" w:type="dxa"/>
              <w:right w:w="100" w:type="dxa"/>
            </w:tcMar>
          </w:tcPr>
          <w:p>
            <w:pPr>
              <w:spacing w:after="40"/>
              <w:jc w:val="right"/>
            </w:pPr>
            <w:r>
              <w:t>—</w:t>
            </w:r>
          </w:p>
        </w:tc>
        <w:tc>
          <w:tcPr>
            <w:tcW w:type="dxa" w:w="1440"/>
            <w:tcMar>
              <w:top w:w="80" w:type="dxa"/>
              <w:bottom w:w="80" w:type="dxa"/>
              <w:left w:w="100" w:type="dxa"/>
              <w:right w:w="100" w:type="dxa"/>
            </w:tcMar>
          </w:tcPr>
          <w:p>
            <w:pPr>
              <w:spacing w:after="40"/>
              <w:jc w:val="right"/>
            </w:pPr>
            <w:r>
              <w:t>S/. 21,480.00</w:t>
            </w:r>
          </w:p>
        </w:tc>
        <w:tc>
          <w:tcPr>
            <w:tcW w:type="dxa" w:w="1440"/>
            <w:tcMar>
              <w:top w:w="80" w:type="dxa"/>
              <w:bottom w:w="80" w:type="dxa"/>
              <w:left w:w="100" w:type="dxa"/>
              <w:right w:w="100" w:type="dxa"/>
            </w:tcMar>
          </w:tcPr>
          <w:p>
            <w:pPr>
              <w:spacing w:after="40"/>
              <w:jc w:val="right"/>
            </w:pPr>
            <w:r>
              <w:t>S/. 22,554.00</w:t>
            </w:r>
          </w:p>
        </w:tc>
        <w:tc>
          <w:tcPr>
            <w:tcW w:type="dxa" w:w="1440"/>
            <w:tcMar>
              <w:top w:w="80" w:type="dxa"/>
              <w:bottom w:w="80" w:type="dxa"/>
              <w:left w:w="100" w:type="dxa"/>
              <w:right w:w="100" w:type="dxa"/>
            </w:tcMar>
          </w:tcPr>
          <w:p>
            <w:pPr>
              <w:spacing w:after="40"/>
              <w:jc w:val="right"/>
            </w:pPr>
            <w:r>
              <w:t>S/. 23,682.00</w:t>
            </w:r>
          </w:p>
        </w:tc>
      </w:tr>
      <w:tr>
        <w:tc>
          <w:tcPr>
            <w:tcW w:type="dxa" w:w="3600"/>
            <w:shd w:fill="FAFAFA"/>
            <w:tcMar>
              <w:top w:w="80" w:type="dxa"/>
              <w:bottom w:w="80" w:type="dxa"/>
              <w:left w:w="100" w:type="dxa"/>
              <w:right w:w="100" w:type="dxa"/>
            </w:tcMar>
          </w:tcPr>
          <w:p>
            <w:pPr>
              <w:spacing w:after="40"/>
              <w:jc w:val="left"/>
            </w:pPr>
            <w:r>
              <w:t>Egresos Operativos (OpEx Anual)</w:t>
            </w:r>
          </w:p>
        </w:tc>
        <w:tc>
          <w:tcPr>
            <w:tcW w:type="dxa" w:w="1440"/>
            <w:shd w:fill="FAFAFA"/>
            <w:tcMar>
              <w:top w:w="80" w:type="dxa"/>
              <w:bottom w:w="80" w:type="dxa"/>
              <w:left w:w="100" w:type="dxa"/>
              <w:right w:w="100" w:type="dxa"/>
            </w:tcMar>
          </w:tcPr>
          <w:p>
            <w:pPr>
              <w:spacing w:after="40"/>
              <w:jc w:val="right"/>
            </w:pPr>
            <w:r>
              <w:t>—</w:t>
            </w:r>
          </w:p>
        </w:tc>
        <w:tc>
          <w:tcPr>
            <w:tcW w:type="dxa" w:w="1440"/>
            <w:shd w:fill="FAFAFA"/>
            <w:tcMar>
              <w:top w:w="80" w:type="dxa"/>
              <w:bottom w:w="80" w:type="dxa"/>
              <w:left w:w="100" w:type="dxa"/>
              <w:right w:w="100" w:type="dxa"/>
            </w:tcMar>
          </w:tcPr>
          <w:p>
            <w:pPr>
              <w:spacing w:after="40"/>
              <w:jc w:val="right"/>
            </w:pPr>
            <w:r>
              <w:t>-S/. 1,150.00</w:t>
            </w:r>
          </w:p>
        </w:tc>
        <w:tc>
          <w:tcPr>
            <w:tcW w:type="dxa" w:w="1440"/>
            <w:shd w:fill="FAFAFA"/>
            <w:tcMar>
              <w:top w:w="80" w:type="dxa"/>
              <w:bottom w:w="80" w:type="dxa"/>
              <w:left w:w="100" w:type="dxa"/>
              <w:right w:w="100" w:type="dxa"/>
            </w:tcMar>
          </w:tcPr>
          <w:p>
            <w:pPr>
              <w:spacing w:after="40"/>
              <w:jc w:val="right"/>
            </w:pPr>
            <w:r>
              <w:t>-S/. 1,208.00</w:t>
            </w:r>
          </w:p>
        </w:tc>
        <w:tc>
          <w:tcPr>
            <w:tcW w:type="dxa" w:w="1440"/>
            <w:shd w:fill="FAFAFA"/>
            <w:tcMar>
              <w:top w:w="80" w:type="dxa"/>
              <w:bottom w:w="80" w:type="dxa"/>
              <w:left w:w="100" w:type="dxa"/>
              <w:right w:w="100" w:type="dxa"/>
            </w:tcMar>
          </w:tcPr>
          <w:p>
            <w:pPr>
              <w:spacing w:after="40"/>
              <w:jc w:val="right"/>
            </w:pPr>
            <w:r>
              <w:t>-S/. 1,268.00</w:t>
            </w:r>
          </w:p>
        </w:tc>
      </w:tr>
      <w:tr>
        <w:tc>
          <w:tcPr>
            <w:tcW w:type="dxa" w:w="3600"/>
            <w:tcMar>
              <w:top w:w="80" w:type="dxa"/>
              <w:bottom w:w="80" w:type="dxa"/>
              <w:left w:w="100" w:type="dxa"/>
              <w:right w:w="100" w:type="dxa"/>
            </w:tcMar>
          </w:tcPr>
          <w:p>
            <w:pPr>
              <w:spacing w:after="40"/>
              <w:jc w:val="left"/>
            </w:pPr>
            <w:r>
              <w:t>Inversión Inicial de Proyecto</w:t>
            </w:r>
          </w:p>
        </w:tc>
        <w:tc>
          <w:tcPr>
            <w:tcW w:type="dxa" w:w="1440"/>
            <w:tcMar>
              <w:top w:w="80" w:type="dxa"/>
              <w:bottom w:w="80" w:type="dxa"/>
              <w:left w:w="100" w:type="dxa"/>
              <w:right w:w="100" w:type="dxa"/>
            </w:tcMar>
          </w:tcPr>
          <w:p>
            <w:pPr>
              <w:spacing w:after="40"/>
              <w:jc w:val="right"/>
            </w:pPr>
            <w:r>
              <w:t>-S/. 17,650.00</w:t>
            </w:r>
          </w:p>
        </w:tc>
        <w:tc>
          <w:tcPr>
            <w:tcW w:type="dxa" w:w="1440"/>
            <w:tcMar>
              <w:top w:w="80" w:type="dxa"/>
              <w:bottom w:w="80" w:type="dxa"/>
              <w:left w:w="100" w:type="dxa"/>
              <w:right w:w="100" w:type="dxa"/>
            </w:tcMar>
          </w:tcPr>
          <w:p>
            <w:pPr>
              <w:spacing w:after="40"/>
              <w:jc w:val="right"/>
            </w:pPr>
            <w:r>
              <w:t>—</w:t>
            </w:r>
          </w:p>
        </w:tc>
        <w:tc>
          <w:tcPr>
            <w:tcW w:type="dxa" w:w="1440"/>
            <w:tcMar>
              <w:top w:w="80" w:type="dxa"/>
              <w:bottom w:w="80" w:type="dxa"/>
              <w:left w:w="100" w:type="dxa"/>
              <w:right w:w="100" w:type="dxa"/>
            </w:tcMar>
          </w:tcPr>
          <w:p>
            <w:pPr>
              <w:spacing w:after="40"/>
              <w:jc w:val="right"/>
            </w:pPr>
            <w:r>
              <w:t>—</w:t>
            </w:r>
          </w:p>
        </w:tc>
        <w:tc>
          <w:tcPr>
            <w:tcW w:type="dxa" w:w="1440"/>
            <w:tcMar>
              <w:top w:w="80" w:type="dxa"/>
              <w:bottom w:w="80" w:type="dxa"/>
              <w:left w:w="100" w:type="dxa"/>
              <w:right w:w="100" w:type="dxa"/>
            </w:tcMar>
          </w:tcPr>
          <w:p>
            <w:pPr>
              <w:spacing w:after="40"/>
              <w:jc w:val="right"/>
            </w:pPr>
            <w:r>
              <w:t>—</w:t>
            </w:r>
          </w:p>
        </w:tc>
      </w:tr>
      <w:tr>
        <w:tc>
          <w:tcPr>
            <w:tcW w:type="dxa" w:w="3600"/>
            <w:shd w:fill="F2E9E9"/>
            <w:tcMar>
              <w:top w:w="80" w:type="dxa"/>
              <w:bottom w:w="80" w:type="dxa"/>
              <w:left w:w="100" w:type="dxa"/>
              <w:right w:w="100" w:type="dxa"/>
            </w:tcMar>
          </w:tcPr>
          <w:p>
            <w:pPr>
              <w:spacing w:after="40"/>
              <w:jc w:val="left"/>
            </w:pPr>
            <w:r>
              <w:rPr>
                <w:b/>
              </w:rPr>
              <w:t>FLUJO DE CAJA NETO (FCN)</w:t>
            </w:r>
          </w:p>
        </w:tc>
        <w:tc>
          <w:tcPr>
            <w:tcW w:type="dxa" w:w="1440"/>
            <w:shd w:fill="F2E9E9"/>
            <w:tcMar>
              <w:top w:w="80" w:type="dxa"/>
              <w:bottom w:w="80" w:type="dxa"/>
              <w:left w:w="100" w:type="dxa"/>
              <w:right w:w="100" w:type="dxa"/>
            </w:tcMar>
          </w:tcPr>
          <w:p>
            <w:pPr>
              <w:spacing w:after="40"/>
              <w:jc w:val="right"/>
            </w:pPr>
            <w:r>
              <w:rPr>
                <w:b/>
              </w:rPr>
              <w:t>-S/. 17,650.00</w:t>
            </w:r>
          </w:p>
        </w:tc>
        <w:tc>
          <w:tcPr>
            <w:tcW w:type="dxa" w:w="1440"/>
            <w:shd w:fill="F2E9E9"/>
            <w:tcMar>
              <w:top w:w="80" w:type="dxa"/>
              <w:bottom w:w="80" w:type="dxa"/>
              <w:left w:w="100" w:type="dxa"/>
              <w:right w:w="100" w:type="dxa"/>
            </w:tcMar>
          </w:tcPr>
          <w:p>
            <w:pPr>
              <w:spacing w:after="40"/>
              <w:jc w:val="right"/>
            </w:pPr>
            <w:r>
              <w:rPr>
                <w:b/>
              </w:rPr>
              <w:t>S/. 20,330.00</w:t>
            </w:r>
          </w:p>
        </w:tc>
        <w:tc>
          <w:tcPr>
            <w:tcW w:type="dxa" w:w="1440"/>
            <w:shd w:fill="F2E9E9"/>
            <w:tcMar>
              <w:top w:w="80" w:type="dxa"/>
              <w:bottom w:w="80" w:type="dxa"/>
              <w:left w:w="100" w:type="dxa"/>
              <w:right w:w="100" w:type="dxa"/>
            </w:tcMar>
          </w:tcPr>
          <w:p>
            <w:pPr>
              <w:spacing w:after="40"/>
              <w:jc w:val="right"/>
            </w:pPr>
            <w:r>
              <w:rPr>
                <w:b/>
              </w:rPr>
              <w:t>S/. 21,346.00</w:t>
            </w:r>
          </w:p>
        </w:tc>
        <w:tc>
          <w:tcPr>
            <w:tcW w:type="dxa" w:w="1440"/>
            <w:shd w:fill="F2E9E9"/>
            <w:tcMar>
              <w:top w:w="80" w:type="dxa"/>
              <w:bottom w:w="80" w:type="dxa"/>
              <w:left w:w="100" w:type="dxa"/>
              <w:right w:w="100" w:type="dxa"/>
            </w:tcMar>
          </w:tcPr>
          <w:p>
            <w:pPr>
              <w:spacing w:after="40"/>
              <w:jc w:val="right"/>
            </w:pPr>
            <w:r>
              <w:rPr>
                <w:b/>
              </w:rPr>
              <w:t>S/. 22,414.00</w:t>
            </w:r>
          </w:p>
        </w:tc>
      </w:tr>
    </w:tbl>
    <w:p>
      <w:pPr>
        <w:spacing w:after="120"/>
      </w:pPr>
    </w:p>
    <w:p>
      <w:pPr>
        <w:spacing w:before="360" w:after="160"/>
      </w:pPr>
      <w:r>
        <w:rPr>
          <w:b/>
          <w:color w:val="9E2A2B"/>
          <w:sz w:val="28"/>
        </w:rPr>
        <w:t>5. Indicadores de Evaluación Económica (VAN, TIR, B/C y Payback)</w:t>
      </w:r>
    </w:p>
    <w:p>
      <w:r>
        <w:t>Para determinar de forma científica la factibilidad del software en la tesis, se aplican los cuatro indicadores financieros más rigurosos requeridos por los jurados de evaluación académica:</w:t>
      </w:r>
    </w:p>
    <w:p>
      <w:pPr>
        <w:spacing w:before="80" w:after="80"/>
      </w:pPr>
      <w:r>
        <w:rPr>
          <w:b/>
          <w:color w:val="333333"/>
        </w:rPr>
        <w:t>A. Tasa de Descuento (COK - Costo de Oportunidad del Capital):</w:t>
        <w:br/>
      </w:r>
      <w:r>
        <w:t xml:space="preserve"> Se define un COK referencial del 10.00% anual, que representa la rentabilidad mínima exigida a proyectos tecnológicos de bajo-mediano riesgo en el contexto nacional peruano para PyMEs.</w:t>
      </w:r>
    </w:p>
    <w:p>
      <w:pPr>
        <w:spacing w:before="80" w:after="80"/>
      </w:pPr>
      <w:r>
        <w:rPr>
          <w:b/>
          <w:color w:val="333333"/>
        </w:rPr>
        <w:t>B. Valor Actual Neto (VAN):</w:t>
        <w:br/>
      </w:r>
      <w:r>
        <w:t xml:space="preserve"> Es el valor actual de los flujos de caja futuros menos la inversión inicial, descontados al COK de la empresa.</w:t>
        <w:br/>
        <w:t>Fórmula: VAN = -Io + sum(FCN_t / (1 + COK)^t)</w:t>
        <w:br/>
        <w:t>Cálculo: VAN = -17,650.00 + (20,330.00 / 1.10^1) + (21,346.00 / 1.10^2) + (22,414.00 / 1.10^3)</w:t>
        <w:br/>
        <w:t>Cálculo: VAN = -17,650.00 + 18,481.82 + 17,641.32 + 16,839.97</w:t>
        <w:br/>
        <w:t>Resultado: VAN = S/. 35,313.11</w:t>
        <w:br/>
        <w:t>Criterio de Decisión: Dado que el VAN es positivo (VAN &gt; S/. 0.00), el proyecto genera un valor económico adicional para Carpicenter y es financieramente VIABLE.</w:t>
      </w:r>
    </w:p>
    <w:p>
      <w:pPr>
        <w:spacing w:before="80" w:after="80"/>
      </w:pPr>
      <w:r>
        <w:rPr>
          <w:b/>
          <w:color w:val="333333"/>
        </w:rPr>
        <w:t>C. Tasa Interna de Retorno (TIR):</w:t>
        <w:br/>
      </w:r>
      <w:r>
        <w:t xml:space="preserve"> Es la tasa de descuento que hace que el VAN sea exactamente igual a cero.</w:t>
        <w:br/>
        <w:t>Fórmula: Io = sum(FCN_t / (1 + TIR)^t)</w:t>
        <w:br/>
        <w:t>Resultado calculado: TIR = 101.40% anual</w:t>
        <w:br/>
        <w:t>Criterio de Decisión: Dado que la TIR es significativamente mayor que el Costo de Oportunidad del Capital (TIR &gt; COK, 101.40% &gt; 10.00%), el proyecto rinde muy por encima de la tasa mínima requerida y muestra una alta rentabilidad y bajo riesgo de pérdida de capital.</w:t>
      </w:r>
    </w:p>
    <w:p>
      <w:pPr>
        <w:spacing w:before="80" w:after="80"/>
      </w:pPr>
      <w:r>
        <w:rPr>
          <w:b/>
          <w:color w:val="333333"/>
        </w:rPr>
        <w:t>D. Relación Beneficio / Costo (B/C):</w:t>
        <w:br/>
      </w:r>
      <w:r>
        <w:t xml:space="preserve"> Compara el valor actual de los flujos netos positivos con la inversión inicial.</w:t>
        <w:br/>
        <w:t>Fórmula: B/C = (Valor Actual de los FCN positivos) / Inversión Inicial</w:t>
        <w:br/>
        <w:t>Cálculo: B/C = 52,963.11 / 17,650.00</w:t>
        <w:br/>
        <w:t>Resultado: B/C = 3.00</w:t>
        <w:br/>
        <w:t>Criterio de Decisión: Dado que B/C es mayor a 1 (B/C = 3.00), por cada Sol (S/. 1.00) que la empresa invierta en el desarrollo del ERP Carpicenter, recuperará ese sol y obtendrá S/. 2.00 adicionales en ahorros y beneficios netos organizacionales.</w:t>
      </w:r>
    </w:p>
    <w:p>
      <w:pPr>
        <w:spacing w:before="80" w:after="80"/>
      </w:pPr>
      <w:r>
        <w:rPr>
          <w:b/>
          <w:color w:val="333333"/>
        </w:rPr>
        <w:t>E. Periodo de Recuperación de Capital (Payback):</w:t>
        <w:br/>
      </w:r>
      <w:r>
        <w:t xml:space="preserve"> Indica el tiempo exacto en el que el flujo neto acumulado equipara la inversión inicial.</w:t>
        <w:br/>
        <w:t>Cálculo: (Inversión Inicial / FCN del Año 1) = (17,650.00 / 20,330.00) = 0.87 años</w:t>
        <w:br/>
        <w:t>Resultado: 10.4 Meses (10 meses y 12 días)</w:t>
        <w:br/>
        <w:t>Criterio de Decisión: El capital invertido se recuperará en su totalidad antes del primer año de operaciones, un plazo sumamente rápido para proyectos de sistemas de información empresariales.</w:t>
      </w:r>
    </w:p>
    <w:p>
      <w:pPr>
        <w:spacing w:after="120"/>
      </w:pPr>
    </w:p>
    <w:p>
      <w:pPr>
        <w:spacing w:before="360" w:after="160"/>
      </w:pPr>
      <w:r>
        <w:rPr>
          <w:b/>
          <w:color w:val="9E2A2B"/>
          <w:sz w:val="28"/>
        </w:rPr>
        <w:t>6. Conclusión de Viabilidad Económica</w:t>
      </w:r>
    </w:p>
    <w:p>
      <w:r>
        <w:t>El análisis económico y financiero sustentado bajo los indicadores de VAN (S/. 35,313.11), TIR (101.40%), Beneficio-Costo (3.00) y el Periodo de Recuperación (10.4 meses) demuestra inequívocamente que la implantación del ERP en Industrias Carpicenter es una decisión corporativa de bajo riesgo y alto rendimiento.</w:t>
      </w:r>
    </w:p>
    <w:p>
      <w:r>
        <w:t>El costo del desarrollo ha sido ajustado a la realidad económica de la empresa (S/. 15,000.00 en total) y la infraestructura se mantiene en costos mensuales mínimos. Se concluye que el sistema no solo se autofinancia de manera ágil a través del control de mermas y optimización de productividad laboral, sino que representa una ventaja competitiva tecnológica indispensable para consolidar la rentabilidad y el crecimiento sostenible de la empresa en el mediano plazo.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