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0765" w14:textId="77777777" w:rsidR="004171E9" w:rsidRPr="004171E9" w:rsidRDefault="004171E9" w:rsidP="004171E9">
      <w:pPr>
        <w:spacing w:before="100" w:beforeAutospacing="1" w:after="100" w:afterAutospacing="1"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In the Western and Central Pacific Fisheries Commission (WCPFC), fish catch reporting utilizes standardized gear codes to classify the various fishing methods employed. These codes are essential for consistent data collection and reporting across the region. Below is a list of common gear codes used within the WCPFC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229"/>
      </w:tblGrid>
      <w:tr w:rsidR="004171E9" w:rsidRPr="004171E9" w14:paraId="0975C9B8" w14:textId="77777777" w:rsidTr="004171E9">
        <w:trPr>
          <w:tblHeader/>
          <w:tblCellSpacing w:w="15" w:type="dxa"/>
        </w:trPr>
        <w:tc>
          <w:tcPr>
            <w:tcW w:w="0" w:type="auto"/>
            <w:vAlign w:val="center"/>
            <w:hideMark/>
          </w:tcPr>
          <w:p w14:paraId="4ACB856F" w14:textId="77777777" w:rsidR="004171E9" w:rsidRPr="004171E9" w:rsidRDefault="004171E9" w:rsidP="004171E9">
            <w:pPr>
              <w:spacing w:after="0" w:line="240" w:lineRule="auto"/>
              <w:jc w:val="center"/>
              <w:rPr>
                <w:rFonts w:ascii="Times New Roman" w:eastAsia="Times New Roman" w:hAnsi="Times New Roman" w:cs="Times New Roman"/>
                <w:b/>
                <w:bCs/>
                <w:sz w:val="24"/>
                <w:szCs w:val="24"/>
              </w:rPr>
            </w:pPr>
            <w:r w:rsidRPr="004171E9">
              <w:rPr>
                <w:rFonts w:ascii="Times New Roman" w:eastAsia="Times New Roman" w:hAnsi="Times New Roman" w:cs="Times New Roman"/>
                <w:b/>
                <w:bCs/>
                <w:sz w:val="24"/>
                <w:szCs w:val="24"/>
              </w:rPr>
              <w:t>Gear Code</w:t>
            </w:r>
          </w:p>
        </w:tc>
        <w:tc>
          <w:tcPr>
            <w:tcW w:w="0" w:type="auto"/>
            <w:vAlign w:val="center"/>
            <w:hideMark/>
          </w:tcPr>
          <w:p w14:paraId="7CCAC1B2" w14:textId="77777777" w:rsidR="004171E9" w:rsidRPr="004171E9" w:rsidRDefault="004171E9" w:rsidP="004171E9">
            <w:pPr>
              <w:spacing w:after="0" w:line="240" w:lineRule="auto"/>
              <w:jc w:val="center"/>
              <w:rPr>
                <w:rFonts w:ascii="Times New Roman" w:eastAsia="Times New Roman" w:hAnsi="Times New Roman" w:cs="Times New Roman"/>
                <w:b/>
                <w:bCs/>
                <w:sz w:val="24"/>
                <w:szCs w:val="24"/>
              </w:rPr>
            </w:pPr>
            <w:r w:rsidRPr="004171E9">
              <w:rPr>
                <w:rFonts w:ascii="Times New Roman" w:eastAsia="Times New Roman" w:hAnsi="Times New Roman" w:cs="Times New Roman"/>
                <w:b/>
                <w:bCs/>
                <w:sz w:val="24"/>
                <w:szCs w:val="24"/>
              </w:rPr>
              <w:t>Description</w:t>
            </w:r>
          </w:p>
        </w:tc>
      </w:tr>
      <w:tr w:rsidR="004171E9" w:rsidRPr="004171E9" w14:paraId="3CD7666C" w14:textId="77777777" w:rsidTr="004171E9">
        <w:trPr>
          <w:tblCellSpacing w:w="15" w:type="dxa"/>
        </w:trPr>
        <w:tc>
          <w:tcPr>
            <w:tcW w:w="0" w:type="auto"/>
            <w:vAlign w:val="center"/>
            <w:hideMark/>
          </w:tcPr>
          <w:p w14:paraId="06C85BA8"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L</w:t>
            </w:r>
          </w:p>
        </w:tc>
        <w:tc>
          <w:tcPr>
            <w:tcW w:w="0" w:type="auto"/>
            <w:vAlign w:val="center"/>
            <w:hideMark/>
          </w:tcPr>
          <w:p w14:paraId="4F70FE44"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Longline</w:t>
            </w:r>
          </w:p>
        </w:tc>
      </w:tr>
      <w:tr w:rsidR="004171E9" w:rsidRPr="004171E9" w14:paraId="66EAE185" w14:textId="77777777" w:rsidTr="004171E9">
        <w:trPr>
          <w:tblCellSpacing w:w="15" w:type="dxa"/>
        </w:trPr>
        <w:tc>
          <w:tcPr>
            <w:tcW w:w="0" w:type="auto"/>
            <w:vAlign w:val="center"/>
            <w:hideMark/>
          </w:tcPr>
          <w:p w14:paraId="2E811068"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S</w:t>
            </w:r>
          </w:p>
        </w:tc>
        <w:tc>
          <w:tcPr>
            <w:tcW w:w="0" w:type="auto"/>
            <w:vAlign w:val="center"/>
            <w:hideMark/>
          </w:tcPr>
          <w:p w14:paraId="285F3116"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Purse Seine</w:t>
            </w:r>
          </w:p>
        </w:tc>
      </w:tr>
      <w:tr w:rsidR="004171E9" w:rsidRPr="004171E9" w14:paraId="0E2D02ED" w14:textId="77777777" w:rsidTr="004171E9">
        <w:trPr>
          <w:tblCellSpacing w:w="15" w:type="dxa"/>
        </w:trPr>
        <w:tc>
          <w:tcPr>
            <w:tcW w:w="0" w:type="auto"/>
            <w:vAlign w:val="center"/>
            <w:hideMark/>
          </w:tcPr>
          <w:p w14:paraId="5BDAA4EC"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P</w:t>
            </w:r>
          </w:p>
        </w:tc>
        <w:tc>
          <w:tcPr>
            <w:tcW w:w="0" w:type="auto"/>
            <w:vAlign w:val="center"/>
            <w:hideMark/>
          </w:tcPr>
          <w:p w14:paraId="6DF5EA5E"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Pole-and-Line</w:t>
            </w:r>
          </w:p>
        </w:tc>
      </w:tr>
      <w:tr w:rsidR="004171E9" w:rsidRPr="004171E9" w14:paraId="6147D541" w14:textId="77777777" w:rsidTr="004171E9">
        <w:trPr>
          <w:tblCellSpacing w:w="15" w:type="dxa"/>
        </w:trPr>
        <w:tc>
          <w:tcPr>
            <w:tcW w:w="0" w:type="auto"/>
            <w:vAlign w:val="center"/>
            <w:hideMark/>
          </w:tcPr>
          <w:p w14:paraId="6FD5EB6D"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H</w:t>
            </w:r>
          </w:p>
        </w:tc>
        <w:tc>
          <w:tcPr>
            <w:tcW w:w="0" w:type="auto"/>
            <w:vAlign w:val="center"/>
            <w:hideMark/>
          </w:tcPr>
          <w:p w14:paraId="7CB5B0AD"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Handline (Large-Fish)</w:t>
            </w:r>
          </w:p>
        </w:tc>
      </w:tr>
      <w:tr w:rsidR="004171E9" w:rsidRPr="004171E9" w14:paraId="464389A8" w14:textId="77777777" w:rsidTr="004171E9">
        <w:trPr>
          <w:tblCellSpacing w:w="15" w:type="dxa"/>
        </w:trPr>
        <w:tc>
          <w:tcPr>
            <w:tcW w:w="0" w:type="auto"/>
            <w:vAlign w:val="center"/>
            <w:hideMark/>
          </w:tcPr>
          <w:p w14:paraId="1BCD1AEC"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K</w:t>
            </w:r>
          </w:p>
        </w:tc>
        <w:tc>
          <w:tcPr>
            <w:tcW w:w="0" w:type="auto"/>
            <w:vAlign w:val="center"/>
            <w:hideMark/>
          </w:tcPr>
          <w:p w14:paraId="268E9053"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Handline (Small-Fish)</w:t>
            </w:r>
          </w:p>
        </w:tc>
      </w:tr>
      <w:tr w:rsidR="004171E9" w:rsidRPr="004171E9" w14:paraId="0B2B615D" w14:textId="77777777" w:rsidTr="004171E9">
        <w:trPr>
          <w:tblCellSpacing w:w="15" w:type="dxa"/>
        </w:trPr>
        <w:tc>
          <w:tcPr>
            <w:tcW w:w="0" w:type="auto"/>
            <w:vAlign w:val="center"/>
            <w:hideMark/>
          </w:tcPr>
          <w:p w14:paraId="2804D324"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T</w:t>
            </w:r>
          </w:p>
        </w:tc>
        <w:tc>
          <w:tcPr>
            <w:tcW w:w="0" w:type="auto"/>
            <w:vAlign w:val="center"/>
            <w:hideMark/>
          </w:tcPr>
          <w:p w14:paraId="5C24CF23"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Troll</w:t>
            </w:r>
          </w:p>
        </w:tc>
      </w:tr>
      <w:tr w:rsidR="004171E9" w:rsidRPr="004171E9" w14:paraId="0ED5D062" w14:textId="77777777" w:rsidTr="004171E9">
        <w:trPr>
          <w:tblCellSpacing w:w="15" w:type="dxa"/>
        </w:trPr>
        <w:tc>
          <w:tcPr>
            <w:tcW w:w="0" w:type="auto"/>
            <w:vAlign w:val="center"/>
            <w:hideMark/>
          </w:tcPr>
          <w:p w14:paraId="1A42D2A0"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R</w:t>
            </w:r>
          </w:p>
        </w:tc>
        <w:tc>
          <w:tcPr>
            <w:tcW w:w="0" w:type="auto"/>
            <w:vAlign w:val="center"/>
            <w:hideMark/>
          </w:tcPr>
          <w:p w14:paraId="1097138D" w14:textId="77777777" w:rsidR="004171E9" w:rsidRPr="004171E9" w:rsidRDefault="004171E9" w:rsidP="004171E9">
            <w:pPr>
              <w:spacing w:after="0" w:line="240" w:lineRule="auto"/>
              <w:rPr>
                <w:rFonts w:ascii="Times New Roman" w:eastAsia="Times New Roman" w:hAnsi="Times New Roman" w:cs="Times New Roman"/>
                <w:sz w:val="24"/>
                <w:szCs w:val="24"/>
              </w:rPr>
            </w:pPr>
            <w:proofErr w:type="spellStart"/>
            <w:r w:rsidRPr="004171E9">
              <w:rPr>
                <w:rFonts w:ascii="Times New Roman" w:eastAsia="Times New Roman" w:hAnsi="Times New Roman" w:cs="Times New Roman"/>
                <w:sz w:val="24"/>
                <w:szCs w:val="24"/>
              </w:rPr>
              <w:t>Ringnet</w:t>
            </w:r>
            <w:proofErr w:type="spellEnd"/>
          </w:p>
        </w:tc>
      </w:tr>
      <w:tr w:rsidR="004171E9" w:rsidRPr="004171E9" w14:paraId="41CD360F" w14:textId="77777777" w:rsidTr="004171E9">
        <w:trPr>
          <w:tblCellSpacing w:w="15" w:type="dxa"/>
        </w:trPr>
        <w:tc>
          <w:tcPr>
            <w:tcW w:w="0" w:type="auto"/>
            <w:vAlign w:val="center"/>
            <w:hideMark/>
          </w:tcPr>
          <w:p w14:paraId="3BA7F001"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G</w:t>
            </w:r>
          </w:p>
        </w:tc>
        <w:tc>
          <w:tcPr>
            <w:tcW w:w="0" w:type="auto"/>
            <w:vAlign w:val="center"/>
            <w:hideMark/>
          </w:tcPr>
          <w:p w14:paraId="34AF3D3E"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Driftnet</w:t>
            </w:r>
          </w:p>
        </w:tc>
      </w:tr>
      <w:tr w:rsidR="004171E9" w:rsidRPr="004171E9" w14:paraId="2191F782" w14:textId="77777777" w:rsidTr="004171E9">
        <w:trPr>
          <w:tblCellSpacing w:w="15" w:type="dxa"/>
        </w:trPr>
        <w:tc>
          <w:tcPr>
            <w:tcW w:w="0" w:type="auto"/>
            <w:vAlign w:val="center"/>
            <w:hideMark/>
          </w:tcPr>
          <w:p w14:paraId="789FC2AD"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N</w:t>
            </w:r>
          </w:p>
        </w:tc>
        <w:tc>
          <w:tcPr>
            <w:tcW w:w="0" w:type="auto"/>
            <w:vAlign w:val="center"/>
            <w:hideMark/>
          </w:tcPr>
          <w:p w14:paraId="23FC4FE6"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Gillnet</w:t>
            </w:r>
          </w:p>
        </w:tc>
      </w:tr>
      <w:tr w:rsidR="004171E9" w:rsidRPr="004171E9" w14:paraId="356F56C6" w14:textId="77777777" w:rsidTr="004171E9">
        <w:trPr>
          <w:tblCellSpacing w:w="15" w:type="dxa"/>
        </w:trPr>
        <w:tc>
          <w:tcPr>
            <w:tcW w:w="0" w:type="auto"/>
            <w:vAlign w:val="center"/>
            <w:hideMark/>
          </w:tcPr>
          <w:p w14:paraId="77D0FE9B"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b/>
                <w:bCs/>
                <w:sz w:val="24"/>
                <w:szCs w:val="24"/>
              </w:rPr>
              <w:t>O</w:t>
            </w:r>
          </w:p>
        </w:tc>
        <w:tc>
          <w:tcPr>
            <w:tcW w:w="0" w:type="auto"/>
            <w:vAlign w:val="center"/>
            <w:hideMark/>
          </w:tcPr>
          <w:p w14:paraId="27C46BFB" w14:textId="77777777" w:rsidR="004171E9" w:rsidRPr="004171E9" w:rsidRDefault="004171E9" w:rsidP="004171E9">
            <w:pPr>
              <w:spacing w:after="0"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Unclassified</w:t>
            </w:r>
          </w:p>
        </w:tc>
      </w:tr>
    </w:tbl>
    <w:p w14:paraId="0B60B490" w14:textId="77777777" w:rsidR="004171E9" w:rsidRPr="004171E9" w:rsidRDefault="004171E9" w:rsidP="004171E9">
      <w:pPr>
        <w:spacing w:before="100" w:beforeAutospacing="1" w:after="100" w:afterAutospacing="1"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These codes are utilized in various WCPFC data collection forms and reports to specify the fishing gear used during catch events. For instance, the 'L' code denotes longline gear, which is commonly used in tuna fisheries, while 'S' represents purse seine gear, often employed for catching schooling pelagic species. Accurate use of these codes ensures effective monitoring and management of fishing activities within the WCPFC jurisdiction.</w:t>
      </w:r>
    </w:p>
    <w:p w14:paraId="17FBA87F" w14:textId="68DDE2F4" w:rsidR="004171E9" w:rsidRPr="004171E9" w:rsidRDefault="004171E9" w:rsidP="004171E9">
      <w:pPr>
        <w:spacing w:before="100" w:beforeAutospacing="1" w:after="100" w:afterAutospacing="1" w:line="240" w:lineRule="auto"/>
        <w:rPr>
          <w:rFonts w:ascii="Times New Roman" w:eastAsia="Times New Roman" w:hAnsi="Times New Roman" w:cs="Times New Roman"/>
          <w:sz w:val="24"/>
          <w:szCs w:val="24"/>
        </w:rPr>
      </w:pPr>
      <w:r w:rsidRPr="004171E9">
        <w:rPr>
          <w:rFonts w:ascii="Times New Roman" w:eastAsia="Times New Roman" w:hAnsi="Times New Roman" w:cs="Times New Roman"/>
          <w:sz w:val="24"/>
          <w:szCs w:val="24"/>
        </w:rPr>
        <w:t xml:space="preserve">For a comprehensive understanding and additional details, refer to the WCPFC Data Catalogue and related documentation. </w:t>
      </w:r>
    </w:p>
    <w:p w14:paraId="5E89E44D" w14:textId="77777777" w:rsidR="00095F52" w:rsidRDefault="00095F52"/>
    <w:sectPr w:rsidR="0009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E9"/>
    <w:rsid w:val="00095F52"/>
    <w:rsid w:val="004171E9"/>
    <w:rsid w:val="00AD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3DC8"/>
  <w15:chartTrackingRefBased/>
  <w15:docId w15:val="{FF751A58-0881-4B45-BC31-43ABA7FC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2</cp:revision>
  <dcterms:created xsi:type="dcterms:W3CDTF">2025-02-22T01:12:00Z</dcterms:created>
  <dcterms:modified xsi:type="dcterms:W3CDTF">2025-02-22T01:12:00Z</dcterms:modified>
</cp:coreProperties>
</file>