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8"/>
        <w:ind w:right="839"/>
        <w:jc w:val="right"/>
      </w:pPr>
      <w:r>
        <w:rPr>
          <w:spacing w:val="-2"/>
        </w:rPr>
        <w:t>ISC/20/BILLWG-01/07</w:t>
      </w:r>
    </w:p>
    <w:p>
      <w:pPr>
        <w:pStyle w:val="BodyText"/>
        <w:rPr>
          <w:sz w:val="20"/>
        </w:rPr>
      </w:pPr>
    </w:p>
    <w:p>
      <w:pPr>
        <w:pStyle w:val="BodyText"/>
        <w:rPr>
          <w:sz w:val="20"/>
        </w:rPr>
      </w:pPr>
    </w:p>
    <w:p>
      <w:pPr>
        <w:pStyle w:val="Heading1"/>
        <w:spacing w:before="226"/>
        <w:ind w:left="505" w:right="1225"/>
        <w:jc w:val="center"/>
      </w:pPr>
      <w:bookmarkStart w:name="Which recruitment scenario is most likel" w:id="1"/>
      <w:bookmarkEnd w:id="1"/>
      <w:r>
        <w:rPr>
          <w:b w:val="0"/>
        </w:rPr>
      </w:r>
      <w:r>
        <w:rPr/>
        <w:t>Which</w:t>
      </w:r>
      <w:r>
        <w:rPr>
          <w:spacing w:val="-4"/>
        </w:rPr>
        <w:t> </w:t>
      </w:r>
      <w:r>
        <w:rPr/>
        <w:t>recruitment</w:t>
      </w:r>
      <w:r>
        <w:rPr>
          <w:spacing w:val="-4"/>
        </w:rPr>
        <w:t> </w:t>
      </w:r>
      <w:r>
        <w:rPr/>
        <w:t>scenario</w:t>
      </w:r>
      <w:r>
        <w:rPr>
          <w:spacing w:val="-4"/>
        </w:rPr>
        <w:t> </w:t>
      </w:r>
      <w:r>
        <w:rPr/>
        <w:t>is</w:t>
      </w:r>
      <w:r>
        <w:rPr>
          <w:spacing w:val="-4"/>
        </w:rPr>
        <w:t> </w:t>
      </w:r>
      <w:r>
        <w:rPr/>
        <w:t>most</w:t>
      </w:r>
      <w:r>
        <w:rPr>
          <w:spacing w:val="-4"/>
        </w:rPr>
        <w:t> </w:t>
      </w:r>
      <w:r>
        <w:rPr/>
        <w:t>likely</w:t>
      </w:r>
      <w:r>
        <w:rPr>
          <w:spacing w:val="-4"/>
        </w:rPr>
        <w:t> </w:t>
      </w:r>
      <w:r>
        <w:rPr/>
        <w:t>for</w:t>
      </w:r>
      <w:r>
        <w:rPr>
          <w:spacing w:val="-4"/>
        </w:rPr>
        <w:t> </w:t>
      </w:r>
      <w:r>
        <w:rPr/>
        <w:t>conducting</w:t>
      </w:r>
      <w:r>
        <w:rPr>
          <w:spacing w:val="-4"/>
        </w:rPr>
        <w:t> </w:t>
      </w:r>
      <w:r>
        <w:rPr/>
        <w:t>future</w:t>
      </w:r>
      <w:r>
        <w:rPr>
          <w:spacing w:val="-4"/>
        </w:rPr>
        <w:t> </w:t>
      </w:r>
      <w:r>
        <w:rPr/>
        <w:t>stock</w:t>
      </w:r>
      <w:r>
        <w:rPr>
          <w:spacing w:val="-4"/>
        </w:rPr>
        <w:t> </w:t>
      </w:r>
      <w:r>
        <w:rPr/>
        <w:t>projections</w:t>
      </w:r>
      <w:r>
        <w:rPr>
          <w:spacing w:val="-4"/>
        </w:rPr>
        <w:t> </w:t>
      </w:r>
      <w:r>
        <w:rPr/>
        <w:t>of Western and Central North Pacific Ocean striped marlin?</w:t>
      </w:r>
    </w:p>
    <w:p>
      <w:pPr>
        <w:pStyle w:val="BodyText"/>
        <w:rPr>
          <w:b/>
          <w:sz w:val="26"/>
        </w:rPr>
      </w:pPr>
    </w:p>
    <w:p>
      <w:pPr>
        <w:pStyle w:val="BodyText"/>
        <w:rPr>
          <w:b/>
          <w:sz w:val="26"/>
        </w:rPr>
      </w:pPr>
    </w:p>
    <w:p>
      <w:pPr>
        <w:pStyle w:val="BodyText"/>
        <w:spacing w:before="5"/>
        <w:rPr>
          <w:b/>
          <w:sz w:val="34"/>
        </w:rPr>
      </w:pPr>
    </w:p>
    <w:p>
      <w:pPr>
        <w:pStyle w:val="BodyText"/>
        <w:ind w:left="505" w:right="1223"/>
        <w:jc w:val="center"/>
      </w:pPr>
      <w:r>
        <w:rPr/>
        <w:t>Jon</w:t>
      </w:r>
      <w:r>
        <w:rPr>
          <w:spacing w:val="-2"/>
        </w:rPr>
        <w:t> </w:t>
      </w:r>
      <w:r>
        <w:rPr/>
        <w:t>Brodziak</w:t>
      </w:r>
      <w:r>
        <w:rPr>
          <w:spacing w:val="-21"/>
        </w:rPr>
        <w:t> </w:t>
      </w:r>
      <w:r>
        <w:rPr/>
        <w:t>and</w:t>
      </w:r>
      <w:r>
        <w:rPr>
          <w:spacing w:val="-1"/>
        </w:rPr>
        <w:t> </w:t>
      </w:r>
      <w:r>
        <w:rPr/>
        <w:t>Michelle </w:t>
      </w:r>
      <w:r>
        <w:rPr>
          <w:spacing w:val="-2"/>
        </w:rPr>
        <w:t>Sculley</w:t>
      </w:r>
    </w:p>
    <w:p>
      <w:pPr>
        <w:pStyle w:val="BodyText"/>
        <w:rPr>
          <w:sz w:val="26"/>
        </w:rPr>
      </w:pPr>
    </w:p>
    <w:p>
      <w:pPr>
        <w:pStyle w:val="BodyText"/>
        <w:spacing w:before="181"/>
        <w:ind w:left="2879" w:right="3598"/>
        <w:jc w:val="center"/>
      </w:pPr>
      <w:r>
        <w:rPr/>
        <w:t>Pacific</w:t>
      </w:r>
      <w:r>
        <w:rPr>
          <w:spacing w:val="-9"/>
        </w:rPr>
        <w:t> </w:t>
      </w:r>
      <w:r>
        <w:rPr/>
        <w:t>Islands</w:t>
      </w:r>
      <w:r>
        <w:rPr>
          <w:spacing w:val="-9"/>
        </w:rPr>
        <w:t> </w:t>
      </w:r>
      <w:r>
        <w:rPr/>
        <w:t>Fisheries</w:t>
      </w:r>
      <w:r>
        <w:rPr>
          <w:spacing w:val="-10"/>
        </w:rPr>
        <w:t> </w:t>
      </w:r>
      <w:r>
        <w:rPr/>
        <w:t>Science</w:t>
      </w:r>
      <w:r>
        <w:rPr>
          <w:spacing w:val="-9"/>
        </w:rPr>
        <w:t> </w:t>
      </w:r>
      <w:r>
        <w:rPr/>
        <w:t>Center National Marine Fisheries Service</w:t>
      </w:r>
    </w:p>
    <w:p>
      <w:pPr>
        <w:pStyle w:val="BodyText"/>
        <w:ind w:left="3560" w:right="4277"/>
        <w:jc w:val="center"/>
      </w:pPr>
      <w:r>
        <w:rPr/>
        <w:t>1845 Wasp Boulevard Honolulu,</w:t>
      </w:r>
      <w:r>
        <w:rPr>
          <w:spacing w:val="-13"/>
        </w:rPr>
        <w:t> </w:t>
      </w:r>
      <w:r>
        <w:rPr/>
        <w:t>HI</w:t>
      </w:r>
      <w:r>
        <w:rPr>
          <w:spacing w:val="-13"/>
        </w:rPr>
        <w:t> </w:t>
      </w:r>
      <w:r>
        <w:rPr/>
        <w:t>96818</w:t>
      </w:r>
      <w:r>
        <w:rPr>
          <w:spacing w:val="-13"/>
        </w:rPr>
        <w:t> </w:t>
      </w:r>
      <w:r>
        <w:rPr/>
        <w:t>USA</w:t>
      </w:r>
    </w:p>
    <w:p>
      <w:pPr>
        <w:pStyle w:val="BodyText"/>
        <w:rPr>
          <w:sz w:val="26"/>
        </w:rPr>
      </w:pPr>
    </w:p>
    <w:p>
      <w:pPr>
        <w:pStyle w:val="BodyText"/>
        <w:spacing w:before="181"/>
        <w:ind w:left="505" w:right="1222"/>
        <w:jc w:val="center"/>
      </w:pPr>
      <w:r>
        <w:rPr/>
        <w:t>Email:</w:t>
      </w:r>
      <w:r>
        <w:rPr>
          <w:spacing w:val="-8"/>
        </w:rPr>
        <w:t> </w:t>
      </w:r>
      <w:hyperlink r:id="rId5">
        <w:r>
          <w:rPr>
            <w:color w:val="0000FF"/>
            <w:u w:val="single" w:color="0000FF"/>
          </w:rPr>
          <w:t>Jon.Brodziak@NOAA.GOV</w:t>
        </w:r>
      </w:hyperlink>
      <w:r>
        <w:rPr/>
        <w:t>,</w:t>
      </w:r>
      <w:r>
        <w:rPr>
          <w:spacing w:val="-5"/>
        </w:rPr>
        <w:t> </w:t>
      </w:r>
      <w:hyperlink r:id="rId6">
        <w:r>
          <w:rPr>
            <w:color w:val="0000FF"/>
            <w:spacing w:val="-2"/>
            <w:u w:val="single" w:color="0000FF"/>
          </w:rPr>
          <w:t>Michelle.Sculley@NOAA.GOV</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spacing w:before="91"/>
        <w:ind w:left="119" w:right="875" w:firstLine="0"/>
        <w:jc w:val="left"/>
        <w:rPr>
          <w:sz w:val="22"/>
        </w:rPr>
      </w:pPr>
      <w:r>
        <w:rPr>
          <w:sz w:val="22"/>
        </w:rPr>
        <w:t>Working</w:t>
      </w:r>
      <w:r>
        <w:rPr>
          <w:spacing w:val="-4"/>
          <w:sz w:val="22"/>
        </w:rPr>
        <w:t> </w:t>
      </w:r>
      <w:r>
        <w:rPr>
          <w:sz w:val="22"/>
        </w:rPr>
        <w:t>paper</w:t>
      </w:r>
      <w:r>
        <w:rPr>
          <w:spacing w:val="-3"/>
          <w:sz w:val="22"/>
        </w:rPr>
        <w:t> </w:t>
      </w:r>
      <w:r>
        <w:rPr>
          <w:sz w:val="22"/>
        </w:rPr>
        <w:t>submitted</w:t>
      </w:r>
      <w:r>
        <w:rPr>
          <w:spacing w:val="-3"/>
          <w:sz w:val="22"/>
        </w:rPr>
        <w:t> </w:t>
      </w:r>
      <w:r>
        <w:rPr>
          <w:sz w:val="22"/>
        </w:rPr>
        <w:t>to</w:t>
      </w:r>
      <w:r>
        <w:rPr>
          <w:spacing w:val="-3"/>
          <w:sz w:val="22"/>
        </w:rPr>
        <w:t> </w:t>
      </w:r>
      <w:r>
        <w:rPr>
          <w:sz w:val="22"/>
        </w:rPr>
        <w:t>the</w:t>
      </w:r>
      <w:r>
        <w:rPr>
          <w:spacing w:val="-4"/>
          <w:sz w:val="22"/>
        </w:rPr>
        <w:t> </w:t>
      </w:r>
      <w:r>
        <w:rPr>
          <w:sz w:val="22"/>
        </w:rPr>
        <w:t>Billfish</w:t>
      </w:r>
      <w:r>
        <w:rPr>
          <w:spacing w:val="-4"/>
          <w:sz w:val="22"/>
        </w:rPr>
        <w:t> </w:t>
      </w:r>
      <w:r>
        <w:rPr>
          <w:sz w:val="22"/>
        </w:rPr>
        <w:t>Working</w:t>
      </w:r>
      <w:r>
        <w:rPr>
          <w:spacing w:val="-4"/>
          <w:sz w:val="22"/>
        </w:rPr>
        <w:t> </w:t>
      </w:r>
      <w:r>
        <w:rPr>
          <w:sz w:val="22"/>
        </w:rPr>
        <w:t>Group,</w:t>
      </w:r>
      <w:r>
        <w:rPr>
          <w:spacing w:val="-3"/>
          <w:sz w:val="22"/>
        </w:rPr>
        <w:t> </w:t>
      </w:r>
      <w:r>
        <w:rPr>
          <w:sz w:val="22"/>
        </w:rPr>
        <w:t>International</w:t>
      </w:r>
      <w:r>
        <w:rPr>
          <w:spacing w:val="-3"/>
          <w:sz w:val="22"/>
        </w:rPr>
        <w:t> </w:t>
      </w:r>
      <w:r>
        <w:rPr>
          <w:sz w:val="22"/>
        </w:rPr>
        <w:t>Scientific</w:t>
      </w:r>
      <w:r>
        <w:rPr>
          <w:spacing w:val="-4"/>
          <w:sz w:val="22"/>
        </w:rPr>
        <w:t> </w:t>
      </w:r>
      <w:r>
        <w:rPr>
          <w:sz w:val="22"/>
        </w:rPr>
        <w:t>Committee</w:t>
      </w:r>
      <w:r>
        <w:rPr>
          <w:spacing w:val="-4"/>
          <w:sz w:val="22"/>
        </w:rPr>
        <w:t> </w:t>
      </w:r>
      <w:r>
        <w:rPr>
          <w:sz w:val="22"/>
        </w:rPr>
        <w:t>for</w:t>
      </w:r>
      <w:r>
        <w:rPr>
          <w:spacing w:val="-3"/>
          <w:sz w:val="22"/>
        </w:rPr>
        <w:t> </w:t>
      </w:r>
      <w:r>
        <w:rPr>
          <w:sz w:val="22"/>
        </w:rPr>
        <w:t>Tuna</w:t>
      </w:r>
      <w:r>
        <w:rPr>
          <w:spacing w:val="-4"/>
          <w:sz w:val="22"/>
        </w:rPr>
        <w:t> </w:t>
      </w:r>
      <w:r>
        <w:rPr>
          <w:sz w:val="22"/>
        </w:rPr>
        <w:t>and Tuna-like Species in the North Pacific Ocean, Jan 30−Feb 4, 2020, Taipei, Taiwan. Working paper is not to be cited without author’s permission.</w:t>
      </w:r>
    </w:p>
    <w:p>
      <w:pPr>
        <w:spacing w:before="119"/>
        <w:ind w:left="119" w:right="7081" w:firstLine="0"/>
        <w:jc w:val="left"/>
        <w:rPr>
          <w:sz w:val="22"/>
        </w:rPr>
      </w:pPr>
      <w:r>
        <w:rPr>
          <w:sz w:val="22"/>
        </w:rPr>
        <w:t>PIFSC</w:t>
      </w:r>
      <w:r>
        <w:rPr>
          <w:spacing w:val="-13"/>
          <w:sz w:val="22"/>
        </w:rPr>
        <w:t> </w:t>
      </w:r>
      <w:r>
        <w:rPr>
          <w:sz w:val="22"/>
        </w:rPr>
        <w:t>Working</w:t>
      </w:r>
      <w:r>
        <w:rPr>
          <w:spacing w:val="-13"/>
          <w:sz w:val="22"/>
        </w:rPr>
        <w:t> </w:t>
      </w:r>
      <w:r>
        <w:rPr>
          <w:sz w:val="22"/>
        </w:rPr>
        <w:t>Paper,</w:t>
      </w:r>
      <w:r>
        <w:rPr>
          <w:spacing w:val="-13"/>
          <w:sz w:val="22"/>
        </w:rPr>
        <w:t> </w:t>
      </w:r>
      <w:r>
        <w:rPr>
          <w:sz w:val="22"/>
        </w:rPr>
        <w:t>WP-20-002 </w:t>
      </w:r>
      <w:r>
        <w:rPr>
          <w:spacing w:val="-2"/>
          <w:sz w:val="22"/>
        </w:rPr>
        <w:t>https://doi.org/10.25923/7ak7-</w:t>
      </w:r>
      <w:r>
        <w:rPr>
          <w:spacing w:val="-4"/>
          <w:sz w:val="22"/>
        </w:rPr>
        <w:t>yz80</w:t>
      </w:r>
    </w:p>
    <w:p>
      <w:pPr>
        <w:spacing w:after="0"/>
        <w:jc w:val="left"/>
        <w:rPr>
          <w:sz w:val="22"/>
        </w:rPr>
        <w:sectPr>
          <w:type w:val="continuous"/>
          <w:pgSz w:w="12240" w:h="15840"/>
          <w:pgMar w:top="640" w:bottom="280" w:left="1320" w:right="600"/>
        </w:sectPr>
      </w:pPr>
    </w:p>
    <w:p>
      <w:pPr>
        <w:pStyle w:val="Heading1"/>
      </w:pPr>
      <w:bookmarkStart w:name="Abstract" w:id="2"/>
      <w:bookmarkEnd w:id="2"/>
      <w:r>
        <w:rPr>
          <w:b w:val="0"/>
        </w:rPr>
      </w:r>
      <w:r>
        <w:rPr>
          <w:spacing w:val="-2"/>
        </w:rPr>
        <w:t>Abstract</w:t>
      </w:r>
    </w:p>
    <w:p>
      <w:pPr>
        <w:pStyle w:val="BodyText"/>
        <w:spacing w:before="7"/>
        <w:rPr>
          <w:b/>
          <w:sz w:val="20"/>
        </w:rPr>
      </w:pPr>
    </w:p>
    <w:p>
      <w:pPr>
        <w:pStyle w:val="BodyText"/>
        <w:spacing w:before="1"/>
        <w:ind w:left="119" w:right="839" w:firstLine="273"/>
      </w:pPr>
      <w:r>
        <w:rPr/>
        <w:t>Several analyses were conducted to address the request of the Northern Committee of the Western and Central North Pacific Fisheries Commission for the ISC Billfish Working Group to provide advice on which recruitment scenario was most likely for the 2019 Western and Central North Pacific Ocean striped marlin stock assessment projections. Linear regression analyses</w:t>
      </w:r>
      <w:r>
        <w:rPr>
          <w:spacing w:val="40"/>
        </w:rPr>
        <w:t> </w:t>
      </w:r>
      <w:r>
        <w:rPr/>
        <w:t>were used to evaluate the time trend of the recruitment estimates from the stock assessment. The results showed a significant long-term decline in age-0 recruits indicating that using a long-term recruitment trend for future projections was not consistent with the observed recent recruitment values. The long-term decline in recruitment, combined with the better out-of-sample predictive accuracy</w:t>
      </w:r>
      <w:r>
        <w:rPr>
          <w:spacing w:val="-3"/>
        </w:rPr>
        <w:t> </w:t>
      </w:r>
      <w:r>
        <w:rPr/>
        <w:t>of</w:t>
      </w:r>
      <w:r>
        <w:rPr>
          <w:spacing w:val="-4"/>
        </w:rPr>
        <w:t> </w:t>
      </w:r>
      <w:r>
        <w:rPr/>
        <w:t>the</w:t>
      </w:r>
      <w:r>
        <w:rPr>
          <w:spacing w:val="-3"/>
        </w:rPr>
        <w:t> </w:t>
      </w:r>
      <w:r>
        <w:rPr/>
        <w:t>short-term</w:t>
      </w:r>
      <w:r>
        <w:rPr>
          <w:spacing w:val="-4"/>
        </w:rPr>
        <w:t> </w:t>
      </w:r>
      <w:r>
        <w:rPr/>
        <w:t>recruitment</w:t>
      </w:r>
      <w:r>
        <w:rPr>
          <w:spacing w:val="-3"/>
        </w:rPr>
        <w:t> </w:t>
      </w:r>
      <w:r>
        <w:rPr/>
        <w:t>scenario</w:t>
      </w:r>
      <w:r>
        <w:rPr>
          <w:spacing w:val="-3"/>
        </w:rPr>
        <w:t> </w:t>
      </w:r>
      <w:r>
        <w:rPr/>
        <w:t>and</w:t>
      </w:r>
      <w:r>
        <w:rPr>
          <w:spacing w:val="-3"/>
        </w:rPr>
        <w:t> </w:t>
      </w:r>
      <w:r>
        <w:rPr/>
        <w:t>the</w:t>
      </w:r>
      <w:r>
        <w:rPr>
          <w:spacing w:val="-3"/>
        </w:rPr>
        <w:t> </w:t>
      </w:r>
      <w:r>
        <w:rPr/>
        <w:t>observation</w:t>
      </w:r>
      <w:r>
        <w:rPr>
          <w:spacing w:val="-4"/>
        </w:rPr>
        <w:t> </w:t>
      </w:r>
      <w:r>
        <w:rPr/>
        <w:t>that</w:t>
      </w:r>
      <w:r>
        <w:rPr>
          <w:spacing w:val="-4"/>
        </w:rPr>
        <w:t> </w:t>
      </w:r>
      <w:r>
        <w:rPr/>
        <w:t>recruitment</w:t>
      </w:r>
      <w:r>
        <w:rPr>
          <w:spacing w:val="-3"/>
        </w:rPr>
        <w:t> </w:t>
      </w:r>
      <w:r>
        <w:rPr/>
        <w:t>for</w:t>
      </w:r>
      <w:r>
        <w:rPr>
          <w:spacing w:val="-3"/>
        </w:rPr>
        <w:t> </w:t>
      </w:r>
      <w:r>
        <w:rPr/>
        <w:t>billfishes are generally positively auto-correlated, led us to conclude that the short-term recruitment scenario was the most likely recruitment scenario for conducting future stock projections for Western and Central North Pacific Ocean striped marlin.</w:t>
      </w:r>
    </w:p>
    <w:p>
      <w:pPr>
        <w:pStyle w:val="BodyText"/>
        <w:spacing w:before="1"/>
        <w:rPr>
          <w:sz w:val="21"/>
        </w:rPr>
      </w:pPr>
    </w:p>
    <w:p>
      <w:pPr>
        <w:pStyle w:val="Heading1"/>
        <w:spacing w:before="0"/>
      </w:pPr>
      <w:bookmarkStart w:name="Introduction" w:id="3"/>
      <w:bookmarkEnd w:id="3"/>
      <w:r>
        <w:rPr>
          <w:b w:val="0"/>
        </w:rPr>
      </w:r>
      <w:r>
        <w:rPr>
          <w:spacing w:val="-2"/>
        </w:rPr>
        <w:t>Introduction</w:t>
      </w:r>
    </w:p>
    <w:p>
      <w:pPr>
        <w:pStyle w:val="BodyText"/>
        <w:spacing w:before="7"/>
        <w:rPr>
          <w:b/>
          <w:sz w:val="20"/>
        </w:rPr>
      </w:pPr>
    </w:p>
    <w:p>
      <w:pPr>
        <w:pStyle w:val="BodyText"/>
        <w:spacing w:before="1"/>
        <w:ind w:left="120" w:right="860" w:firstLine="273"/>
      </w:pPr>
      <w:r>
        <w:rPr/>
        <w:t>The ISC Billfish working group presented the Western and Central North Pacific Ocean striped marlin (WCNPO MLS) stock assessment to the Western and Central Pacific Fisheries Commission Scientific and Northern Committees (WCPFC SC and NC) in 2019 (ISC 2019). This benchmark assessment included the results of projections requested by the NC to help inform a rebuilding plan for MLS. The WG included two potential recruitment scenarios, which the group agreed were plausible, for the NC to consider. The NC then requested the ISC BILLWG</w:t>
      </w:r>
      <w:r>
        <w:rPr>
          <w:spacing w:val="-5"/>
        </w:rPr>
        <w:t> </w:t>
      </w:r>
      <w:r>
        <w:rPr/>
        <w:t>to</w:t>
      </w:r>
      <w:r>
        <w:rPr>
          <w:spacing w:val="-4"/>
        </w:rPr>
        <w:t> </w:t>
      </w:r>
      <w:r>
        <w:rPr/>
        <w:t>provide</w:t>
      </w:r>
      <w:r>
        <w:rPr>
          <w:spacing w:val="-4"/>
        </w:rPr>
        <w:t> </w:t>
      </w:r>
      <w:r>
        <w:rPr/>
        <w:t>additional</w:t>
      </w:r>
      <w:r>
        <w:rPr>
          <w:spacing w:val="-4"/>
        </w:rPr>
        <w:t> </w:t>
      </w:r>
      <w:r>
        <w:rPr/>
        <w:t>information</w:t>
      </w:r>
      <w:r>
        <w:rPr>
          <w:spacing w:val="-4"/>
        </w:rPr>
        <w:t> </w:t>
      </w:r>
      <w:r>
        <w:rPr/>
        <w:t>on</w:t>
      </w:r>
      <w:r>
        <w:rPr>
          <w:spacing w:val="-4"/>
        </w:rPr>
        <w:t> </w:t>
      </w:r>
      <w:r>
        <w:rPr/>
        <w:t>which</w:t>
      </w:r>
      <w:r>
        <w:rPr>
          <w:spacing w:val="-4"/>
        </w:rPr>
        <w:t> </w:t>
      </w:r>
      <w:r>
        <w:rPr/>
        <w:t>recruitment</w:t>
      </w:r>
      <w:r>
        <w:rPr>
          <w:spacing w:val="-4"/>
        </w:rPr>
        <w:t> </w:t>
      </w:r>
      <w:r>
        <w:rPr/>
        <w:t>scenario</w:t>
      </w:r>
      <w:r>
        <w:rPr>
          <w:spacing w:val="-4"/>
        </w:rPr>
        <w:t> </w:t>
      </w:r>
      <w:r>
        <w:rPr/>
        <w:t>was</w:t>
      </w:r>
      <w:r>
        <w:rPr>
          <w:spacing w:val="-3"/>
        </w:rPr>
        <w:t> </w:t>
      </w:r>
      <w:r>
        <w:rPr/>
        <w:t>more</w:t>
      </w:r>
      <w:r>
        <w:rPr>
          <w:spacing w:val="-4"/>
        </w:rPr>
        <w:t> </w:t>
      </w:r>
      <w:r>
        <w:rPr/>
        <w:t>likely</w:t>
      </w:r>
      <w:r>
        <w:rPr>
          <w:spacing w:val="-4"/>
        </w:rPr>
        <w:t> </w:t>
      </w:r>
      <w:r>
        <w:rPr/>
        <w:t>given the observed assessment data. This document provides some additional analyses on the relative likelihood of each future recruitment scenario for conducting stock projections.</w:t>
      </w:r>
    </w:p>
    <w:p>
      <w:pPr>
        <w:pStyle w:val="BodyText"/>
        <w:rPr>
          <w:sz w:val="21"/>
        </w:rPr>
      </w:pPr>
    </w:p>
    <w:p>
      <w:pPr>
        <w:pStyle w:val="Heading1"/>
        <w:spacing w:before="1"/>
      </w:pPr>
      <w:bookmarkStart w:name="Results and Discussion" w:id="4"/>
      <w:bookmarkEnd w:id="4"/>
      <w:r>
        <w:rPr>
          <w:b w:val="0"/>
        </w:rPr>
      </w:r>
      <w:r>
        <w:rPr/>
        <w:t>Results</w:t>
      </w:r>
      <w:r>
        <w:rPr>
          <w:spacing w:val="-3"/>
        </w:rPr>
        <w:t> </w:t>
      </w:r>
      <w:r>
        <w:rPr/>
        <w:t>and</w:t>
      </w:r>
      <w:r>
        <w:rPr>
          <w:spacing w:val="-2"/>
        </w:rPr>
        <w:t> Discussion</w:t>
      </w:r>
    </w:p>
    <w:p>
      <w:pPr>
        <w:pStyle w:val="BodyText"/>
        <w:spacing w:before="7"/>
        <w:rPr>
          <w:b/>
          <w:sz w:val="20"/>
        </w:rPr>
      </w:pPr>
    </w:p>
    <w:p>
      <w:pPr>
        <w:pStyle w:val="BodyText"/>
        <w:ind w:left="120" w:right="893" w:firstLine="270"/>
      </w:pPr>
      <w:r>
        <w:rPr/>
        <w:t>The short-term recruitment scenario is based on random resampling of the empirical cumulative</w:t>
      </w:r>
      <w:r>
        <w:rPr>
          <w:spacing w:val="-3"/>
        </w:rPr>
        <w:t> </w:t>
      </w:r>
      <w:r>
        <w:rPr/>
        <w:t>distribution</w:t>
      </w:r>
      <w:r>
        <w:rPr>
          <w:spacing w:val="-5"/>
        </w:rPr>
        <w:t> </w:t>
      </w:r>
      <w:r>
        <w:rPr/>
        <w:t>function</w:t>
      </w:r>
      <w:r>
        <w:rPr>
          <w:spacing w:val="-3"/>
        </w:rPr>
        <w:t> </w:t>
      </w:r>
      <w:r>
        <w:rPr/>
        <w:t>of</w:t>
      </w:r>
      <w:r>
        <w:rPr>
          <w:spacing w:val="-4"/>
        </w:rPr>
        <w:t> </w:t>
      </w:r>
      <w:r>
        <w:rPr/>
        <w:t>estimated</w:t>
      </w:r>
      <w:r>
        <w:rPr>
          <w:spacing w:val="-3"/>
        </w:rPr>
        <w:t> </w:t>
      </w:r>
      <w:r>
        <w:rPr/>
        <w:t>age-1</w:t>
      </w:r>
      <w:r>
        <w:rPr>
          <w:spacing w:val="-3"/>
        </w:rPr>
        <w:t> </w:t>
      </w:r>
      <w:r>
        <w:rPr/>
        <w:t>recruits</w:t>
      </w:r>
      <w:r>
        <w:rPr>
          <w:spacing w:val="-3"/>
        </w:rPr>
        <w:t> </w:t>
      </w:r>
      <w:r>
        <w:rPr/>
        <w:t>during</w:t>
      </w:r>
      <w:r>
        <w:rPr>
          <w:spacing w:val="-3"/>
        </w:rPr>
        <w:t> </w:t>
      </w:r>
      <w:r>
        <w:rPr/>
        <w:t>2012–2016</w:t>
      </w:r>
      <w:r>
        <w:rPr>
          <w:spacing w:val="-3"/>
        </w:rPr>
        <w:t> </w:t>
      </w:r>
      <w:r>
        <w:rPr/>
        <w:t>(n</w:t>
      </w:r>
      <w:r>
        <w:rPr>
          <w:spacing w:val="-2"/>
        </w:rPr>
        <w:t> </w:t>
      </w:r>
      <w:r>
        <w:rPr/>
        <w:t>=</w:t>
      </w:r>
      <w:r>
        <w:rPr>
          <w:spacing w:val="-3"/>
        </w:rPr>
        <w:t> </w:t>
      </w:r>
      <w:r>
        <w:rPr/>
        <w:t>5</w:t>
      </w:r>
      <w:r>
        <w:rPr>
          <w:spacing w:val="-5"/>
        </w:rPr>
        <w:t> </w:t>
      </w:r>
      <w:r>
        <w:rPr/>
        <w:t>years).</w:t>
      </w:r>
      <w:r>
        <w:rPr>
          <w:spacing w:val="-3"/>
        </w:rPr>
        <w:t> </w:t>
      </w:r>
      <w:r>
        <w:rPr/>
        <w:t>The long-term recruitment scenario is based on random resampling of the empirical cumulative distribution function of estimated age-1 recruits during 1976–2016 (n = 41 years). Both the</w:t>
      </w:r>
    </w:p>
    <w:p>
      <w:pPr>
        <w:pStyle w:val="BodyText"/>
        <w:ind w:left="120" w:right="893"/>
      </w:pPr>
      <w:r>
        <w:rPr/>
        <w:t>short- and long-term scenarios are nonparametric models to predict future recruitment. Recruitment averages 134,020 fish under the short-term scenario with a coefficient of variation of</w:t>
      </w:r>
      <w:r>
        <w:rPr>
          <w:spacing w:val="-4"/>
        </w:rPr>
        <w:t> </w:t>
      </w:r>
      <w:r>
        <w:rPr/>
        <w:t>58%,</w:t>
      </w:r>
      <w:r>
        <w:rPr>
          <w:spacing w:val="-3"/>
        </w:rPr>
        <w:t> </w:t>
      </w:r>
      <w:r>
        <w:rPr/>
        <w:t>while</w:t>
      </w:r>
      <w:r>
        <w:rPr>
          <w:spacing w:val="-3"/>
        </w:rPr>
        <w:t> </w:t>
      </w:r>
      <w:r>
        <w:rPr/>
        <w:t>recruitment</w:t>
      </w:r>
      <w:r>
        <w:rPr>
          <w:spacing w:val="-3"/>
        </w:rPr>
        <w:t> </w:t>
      </w:r>
      <w:r>
        <w:rPr/>
        <w:t>averages</w:t>
      </w:r>
      <w:r>
        <w:rPr>
          <w:spacing w:val="-4"/>
        </w:rPr>
        <w:t> </w:t>
      </w:r>
      <w:r>
        <w:rPr/>
        <w:t>306,989</w:t>
      </w:r>
      <w:r>
        <w:rPr>
          <w:spacing w:val="-3"/>
        </w:rPr>
        <w:t> </w:t>
      </w:r>
      <w:r>
        <w:rPr/>
        <w:t>fish</w:t>
      </w:r>
      <w:r>
        <w:rPr>
          <w:spacing w:val="-3"/>
        </w:rPr>
        <w:t> </w:t>
      </w:r>
      <w:r>
        <w:rPr/>
        <w:t>under</w:t>
      </w:r>
      <w:r>
        <w:rPr>
          <w:spacing w:val="-3"/>
        </w:rPr>
        <w:t> </w:t>
      </w:r>
      <w:r>
        <w:rPr/>
        <w:t>the</w:t>
      </w:r>
      <w:r>
        <w:rPr>
          <w:spacing w:val="-4"/>
        </w:rPr>
        <w:t> </w:t>
      </w:r>
      <w:r>
        <w:rPr/>
        <w:t>long-term</w:t>
      </w:r>
      <w:r>
        <w:rPr>
          <w:spacing w:val="-5"/>
        </w:rPr>
        <w:t> </w:t>
      </w:r>
      <w:r>
        <w:rPr/>
        <w:t>scenario,</w:t>
      </w:r>
      <w:r>
        <w:rPr>
          <w:spacing w:val="-3"/>
        </w:rPr>
        <w:t> </w:t>
      </w:r>
      <w:r>
        <w:rPr/>
        <w:t>or</w:t>
      </w:r>
      <w:r>
        <w:rPr>
          <w:spacing w:val="-3"/>
        </w:rPr>
        <w:t> </w:t>
      </w:r>
      <w:r>
        <w:rPr/>
        <w:t>2-fold</w:t>
      </w:r>
      <w:r>
        <w:rPr>
          <w:spacing w:val="-3"/>
        </w:rPr>
        <w:t> </w:t>
      </w:r>
      <w:r>
        <w:rPr/>
        <w:t>greater than under the short-term scenario, with a coefficient of variation of 54%.</w:t>
      </w:r>
    </w:p>
    <w:p>
      <w:pPr>
        <w:pStyle w:val="BodyText"/>
        <w:spacing w:before="9"/>
        <w:rPr>
          <w:sz w:val="20"/>
        </w:rPr>
      </w:pPr>
    </w:p>
    <w:p>
      <w:pPr>
        <w:pStyle w:val="BodyText"/>
        <w:ind w:left="119" w:right="871" w:firstLine="273"/>
      </w:pPr>
      <w:r>
        <w:rPr/>
        <w:t>The time series of recruitment estimates for the WCNPO striped marlin stock shows a significant long-term decline (</w:t>
      </w:r>
      <w:hyperlink w:history="true" w:anchor="_bookmark2">
        <w:r>
          <w:rPr>
            <w:color w:val="0000FF"/>
            <w:u w:val="single" w:color="0000FF"/>
          </w:rPr>
          <w:t>Figure 1</w:t>
        </w:r>
      </w:hyperlink>
      <w:r>
        <w:rPr/>
        <w:t>). To examine trends in striped marlin recruitment, we fitted a linear regression of recruitment as a function of year over the entire time series of recruitment estimates (age-1, 1976–2018). The regression results showed a significant negative time trend (P &lt; 0.001, adjusted R</w:t>
      </w:r>
      <w:r>
        <w:rPr>
          <w:vertAlign w:val="superscript"/>
        </w:rPr>
        <w:t>2</w:t>
      </w:r>
      <w:r>
        <w:rPr>
          <w:spacing w:val="-13"/>
          <w:vertAlign w:val="baseline"/>
        </w:rPr>
        <w:t> </w:t>
      </w:r>
      <w:r>
        <w:rPr>
          <w:vertAlign w:val="baseline"/>
        </w:rPr>
        <w:t>= 0.52). The fitted regression conformed to model</w:t>
      </w:r>
      <w:r>
        <w:rPr>
          <w:spacing w:val="40"/>
          <w:vertAlign w:val="baseline"/>
        </w:rPr>
        <w:t> </w:t>
      </w:r>
      <w:r>
        <w:rPr>
          <w:vertAlign w:val="baseline"/>
        </w:rPr>
        <w:t>assumptions and satisfied tests for constant variance (P = 0.07) and normally-distributed errors (P=0.36).</w:t>
      </w:r>
      <w:r>
        <w:rPr>
          <w:spacing w:val="-3"/>
          <w:vertAlign w:val="baseline"/>
        </w:rPr>
        <w:t> </w:t>
      </w:r>
      <w:r>
        <w:rPr>
          <w:vertAlign w:val="baseline"/>
        </w:rPr>
        <w:t>We</w:t>
      </w:r>
      <w:r>
        <w:rPr>
          <w:spacing w:val="-3"/>
          <w:vertAlign w:val="baseline"/>
        </w:rPr>
        <w:t> </w:t>
      </w:r>
      <w:r>
        <w:rPr>
          <w:vertAlign w:val="baseline"/>
        </w:rPr>
        <w:t>also</w:t>
      </w:r>
      <w:r>
        <w:rPr>
          <w:spacing w:val="-3"/>
          <w:vertAlign w:val="baseline"/>
        </w:rPr>
        <w:t> </w:t>
      </w:r>
      <w:r>
        <w:rPr>
          <w:vertAlign w:val="baseline"/>
        </w:rPr>
        <w:t>checked</w:t>
      </w:r>
      <w:r>
        <w:rPr>
          <w:spacing w:val="-4"/>
          <w:vertAlign w:val="baseline"/>
        </w:rPr>
        <w:t> </w:t>
      </w:r>
      <w:r>
        <w:rPr>
          <w:vertAlign w:val="baseline"/>
        </w:rPr>
        <w:t>whether</w:t>
      </w:r>
      <w:r>
        <w:rPr>
          <w:spacing w:val="-4"/>
          <w:vertAlign w:val="baseline"/>
        </w:rPr>
        <w:t> </w:t>
      </w:r>
      <w:r>
        <w:rPr>
          <w:vertAlign w:val="baseline"/>
        </w:rPr>
        <w:t>the</w:t>
      </w:r>
      <w:r>
        <w:rPr>
          <w:spacing w:val="-3"/>
          <w:vertAlign w:val="baseline"/>
        </w:rPr>
        <w:t> </w:t>
      </w:r>
      <w:r>
        <w:rPr>
          <w:vertAlign w:val="baseline"/>
        </w:rPr>
        <w:t>fitted</w:t>
      </w:r>
      <w:r>
        <w:rPr>
          <w:spacing w:val="-5"/>
          <w:vertAlign w:val="baseline"/>
        </w:rPr>
        <w:t> </w:t>
      </w:r>
      <w:r>
        <w:rPr>
          <w:vertAlign w:val="baseline"/>
        </w:rPr>
        <w:t>regression</w:t>
      </w:r>
      <w:r>
        <w:rPr>
          <w:spacing w:val="-5"/>
          <w:vertAlign w:val="baseline"/>
        </w:rPr>
        <w:t> </w:t>
      </w:r>
      <w:r>
        <w:rPr>
          <w:vertAlign w:val="baseline"/>
        </w:rPr>
        <w:t>results</w:t>
      </w:r>
      <w:r>
        <w:rPr>
          <w:spacing w:val="-3"/>
          <w:vertAlign w:val="baseline"/>
        </w:rPr>
        <w:t> </w:t>
      </w:r>
      <w:r>
        <w:rPr>
          <w:vertAlign w:val="baseline"/>
        </w:rPr>
        <w:t>were</w:t>
      </w:r>
      <w:r>
        <w:rPr>
          <w:spacing w:val="-3"/>
          <w:vertAlign w:val="baseline"/>
        </w:rPr>
        <w:t> </w:t>
      </w:r>
      <w:r>
        <w:rPr>
          <w:vertAlign w:val="baseline"/>
        </w:rPr>
        <w:t>robust</w:t>
      </w:r>
      <w:r>
        <w:rPr>
          <w:spacing w:val="-3"/>
          <w:vertAlign w:val="baseline"/>
        </w:rPr>
        <w:t> </w:t>
      </w:r>
      <w:r>
        <w:rPr>
          <w:vertAlign w:val="baseline"/>
        </w:rPr>
        <w:t>using</w:t>
      </w:r>
      <w:r>
        <w:rPr>
          <w:spacing w:val="-3"/>
          <w:vertAlign w:val="baseline"/>
        </w:rPr>
        <w:t> </w:t>
      </w:r>
      <w:r>
        <w:rPr>
          <w:vertAlign w:val="baseline"/>
        </w:rPr>
        <w:t>M-estimates</w:t>
      </w:r>
      <w:r>
        <w:rPr>
          <w:spacing w:val="-3"/>
          <w:vertAlign w:val="baseline"/>
        </w:rPr>
        <w:t> </w:t>
      </w:r>
      <w:r>
        <w:rPr>
          <w:vertAlign w:val="baseline"/>
        </w:rPr>
        <w:t>of regression model coefficients (Huber 1981) in the R package “rlm.” This analysis showed that the robust regression coefficients were not significantly different from the linear regression</w:t>
      </w:r>
    </w:p>
    <w:p>
      <w:pPr>
        <w:spacing w:after="0"/>
        <w:sectPr>
          <w:footerReference w:type="default" r:id="rId7"/>
          <w:pgSz w:w="12240" w:h="15840"/>
          <w:pgMar w:footer="984" w:header="0" w:top="1380" w:bottom="1180" w:left="1320" w:right="600"/>
          <w:pgNumType w:start="2"/>
        </w:sectPr>
      </w:pPr>
    </w:p>
    <w:p>
      <w:pPr>
        <w:pStyle w:val="BodyText"/>
        <w:spacing w:before="98"/>
        <w:ind w:left="119" w:right="875"/>
      </w:pPr>
      <w:r>
        <w:rPr/>
        <w:t>coefficients</w:t>
      </w:r>
      <w:hyperlink w:history="true" w:anchor="_bookmark0">
        <w:r>
          <w:rPr>
            <w:vertAlign w:val="superscript"/>
          </w:rPr>
          <w:t>1</w:t>
        </w:r>
      </w:hyperlink>
      <w:r>
        <w:rPr>
          <w:spacing w:val="-2"/>
          <w:vertAlign w:val="baseline"/>
        </w:rPr>
        <w:t> </w:t>
      </w:r>
      <w:r>
        <w:rPr>
          <w:vertAlign w:val="baseline"/>
        </w:rPr>
        <w:t>and</w:t>
      </w:r>
      <w:r>
        <w:rPr>
          <w:spacing w:val="-2"/>
          <w:vertAlign w:val="baseline"/>
        </w:rPr>
        <w:t> </w:t>
      </w:r>
      <w:r>
        <w:rPr>
          <w:vertAlign w:val="baseline"/>
        </w:rPr>
        <w:t>further</w:t>
      </w:r>
      <w:r>
        <w:rPr>
          <w:spacing w:val="-3"/>
          <w:vertAlign w:val="baseline"/>
        </w:rPr>
        <w:t> </w:t>
      </w:r>
      <w:r>
        <w:rPr>
          <w:vertAlign w:val="baseline"/>
        </w:rPr>
        <w:t>verified</w:t>
      </w:r>
      <w:r>
        <w:rPr>
          <w:spacing w:val="-4"/>
          <w:vertAlign w:val="baseline"/>
        </w:rPr>
        <w:t> </w:t>
      </w:r>
      <w:r>
        <w:rPr>
          <w:vertAlign w:val="baseline"/>
        </w:rPr>
        <w:t>that</w:t>
      </w:r>
      <w:r>
        <w:rPr>
          <w:spacing w:val="-3"/>
          <w:vertAlign w:val="baseline"/>
        </w:rPr>
        <w:t> </w:t>
      </w:r>
      <w:r>
        <w:rPr>
          <w:vertAlign w:val="baseline"/>
        </w:rPr>
        <w:t>the</w:t>
      </w:r>
      <w:r>
        <w:rPr>
          <w:spacing w:val="-2"/>
          <w:vertAlign w:val="baseline"/>
        </w:rPr>
        <w:t> </w:t>
      </w:r>
      <w:r>
        <w:rPr>
          <w:vertAlign w:val="baseline"/>
        </w:rPr>
        <w:t>linear</w:t>
      </w:r>
      <w:r>
        <w:rPr>
          <w:spacing w:val="-3"/>
          <w:vertAlign w:val="baseline"/>
        </w:rPr>
        <w:t> </w:t>
      </w:r>
      <w:r>
        <w:rPr>
          <w:vertAlign w:val="baseline"/>
        </w:rPr>
        <w:t>regression</w:t>
      </w:r>
      <w:r>
        <w:rPr>
          <w:spacing w:val="-4"/>
          <w:vertAlign w:val="baseline"/>
        </w:rPr>
        <w:t> </w:t>
      </w:r>
      <w:r>
        <w:rPr>
          <w:vertAlign w:val="baseline"/>
        </w:rPr>
        <w:t>results</w:t>
      </w:r>
      <w:r>
        <w:rPr>
          <w:spacing w:val="-2"/>
          <w:vertAlign w:val="baseline"/>
        </w:rPr>
        <w:t> </w:t>
      </w:r>
      <w:r>
        <w:rPr>
          <w:vertAlign w:val="baseline"/>
        </w:rPr>
        <w:t>were</w:t>
      </w:r>
      <w:r>
        <w:rPr>
          <w:spacing w:val="-3"/>
          <w:vertAlign w:val="baseline"/>
        </w:rPr>
        <w:t> </w:t>
      </w:r>
      <w:r>
        <w:rPr>
          <w:vertAlign w:val="baseline"/>
        </w:rPr>
        <w:t>robust</w:t>
      </w:r>
      <w:r>
        <w:rPr>
          <w:spacing w:val="-2"/>
          <w:vertAlign w:val="baseline"/>
        </w:rPr>
        <w:t> </w:t>
      </w:r>
      <w:r>
        <w:rPr>
          <w:vertAlign w:val="baseline"/>
        </w:rPr>
        <w:t>to</w:t>
      </w:r>
      <w:r>
        <w:rPr>
          <w:spacing w:val="-2"/>
          <w:vertAlign w:val="baseline"/>
        </w:rPr>
        <w:t> </w:t>
      </w:r>
      <w:r>
        <w:rPr>
          <w:vertAlign w:val="baseline"/>
        </w:rPr>
        <w:t>model </w:t>
      </w:r>
      <w:r>
        <w:rPr>
          <w:spacing w:val="-2"/>
          <w:vertAlign w:val="baseline"/>
        </w:rPr>
        <w:t>assumptions.</w:t>
      </w:r>
    </w:p>
    <w:p>
      <w:pPr>
        <w:pStyle w:val="BodyText"/>
        <w:spacing w:before="10"/>
        <w:rPr>
          <w:sz w:val="20"/>
        </w:rPr>
      </w:pPr>
    </w:p>
    <w:p>
      <w:pPr>
        <w:pStyle w:val="BodyText"/>
        <w:ind w:left="119" w:right="854" w:firstLine="273"/>
      </w:pPr>
      <w:r>
        <w:rPr/>
        <w:t>The significant declining trend in observed recruitment implied that using the long-term recruitment scenario for MLS projections was not consistent with the observed recent</w:t>
      </w:r>
      <w:r>
        <w:rPr>
          <w:spacing w:val="40"/>
        </w:rPr>
        <w:t> </w:t>
      </w:r>
      <w:r>
        <w:rPr/>
        <w:t>recruitment values (</w:t>
      </w:r>
      <w:hyperlink w:history="true" w:anchor="_bookmark3">
        <w:r>
          <w:rPr>
            <w:color w:val="0000FF"/>
            <w:u w:val="single" w:color="0000FF"/>
          </w:rPr>
          <w:t>Figure 2</w:t>
        </w:r>
      </w:hyperlink>
      <w:r>
        <w:rPr/>
        <w:t>). There was no time trend in the recruitment estimates used in the short-term recruitment scenario (linear regression, P=0.94, non-significant). We also evaluated out-of-sample forecasts of the relative prediction</w:t>
      </w:r>
      <w:r>
        <w:rPr>
          <w:spacing w:val="-1"/>
        </w:rPr>
        <w:t> </w:t>
      </w:r>
      <w:r>
        <w:rPr/>
        <w:t>errors for the 2017 and 2018 year classes under the</w:t>
      </w:r>
      <w:r>
        <w:rPr>
          <w:spacing w:val="-3"/>
        </w:rPr>
        <w:t> </w:t>
      </w:r>
      <w:r>
        <w:rPr/>
        <w:t>short-term</w:t>
      </w:r>
      <w:r>
        <w:rPr>
          <w:spacing w:val="-4"/>
        </w:rPr>
        <w:t> </w:t>
      </w:r>
      <w:r>
        <w:rPr/>
        <w:t>and</w:t>
      </w:r>
      <w:r>
        <w:rPr>
          <w:spacing w:val="-3"/>
        </w:rPr>
        <w:t> </w:t>
      </w:r>
      <w:r>
        <w:rPr/>
        <w:t>long-term</w:t>
      </w:r>
      <w:r>
        <w:rPr>
          <w:spacing w:val="-5"/>
        </w:rPr>
        <w:t> </w:t>
      </w:r>
      <w:r>
        <w:rPr/>
        <w:t>recruitment</w:t>
      </w:r>
      <w:r>
        <w:rPr>
          <w:spacing w:val="-3"/>
        </w:rPr>
        <w:t> </w:t>
      </w:r>
      <w:r>
        <w:rPr/>
        <w:t>scenarios</w:t>
      </w:r>
      <w:r>
        <w:rPr>
          <w:spacing w:val="-3"/>
        </w:rPr>
        <w:t> </w:t>
      </w:r>
      <w:r>
        <w:rPr/>
        <w:t>using</w:t>
      </w:r>
      <w:r>
        <w:rPr>
          <w:spacing w:val="-3"/>
        </w:rPr>
        <w:t> </w:t>
      </w:r>
      <w:r>
        <w:rPr/>
        <w:t>cross</w:t>
      </w:r>
      <w:r>
        <w:rPr>
          <w:spacing w:val="-3"/>
        </w:rPr>
        <w:t> </w:t>
      </w:r>
      <w:r>
        <w:rPr/>
        <w:t>validation</w:t>
      </w:r>
      <w:r>
        <w:rPr>
          <w:spacing w:val="-5"/>
        </w:rPr>
        <w:t> </w:t>
      </w:r>
      <w:r>
        <w:rPr/>
        <w:t>(e.g.,</w:t>
      </w:r>
      <w:r>
        <w:rPr>
          <w:spacing w:val="-3"/>
        </w:rPr>
        <w:t> </w:t>
      </w:r>
      <w:r>
        <w:rPr/>
        <w:t>Wood</w:t>
      </w:r>
      <w:r>
        <w:rPr>
          <w:spacing w:val="-2"/>
        </w:rPr>
        <w:t> </w:t>
      </w:r>
      <w:r>
        <w:rPr/>
        <w:t>2006).</w:t>
      </w:r>
      <w:r>
        <w:rPr>
          <w:spacing w:val="-3"/>
        </w:rPr>
        <w:t> </w:t>
      </w:r>
      <w:r>
        <w:rPr/>
        <w:t>The out-of-sample forecasts indicated that the weighted error variance (i.e., Bates and Granger 1969) for</w:t>
      </w:r>
      <w:r>
        <w:rPr>
          <w:spacing w:val="-2"/>
        </w:rPr>
        <w:t> </w:t>
      </w:r>
      <w:r>
        <w:rPr/>
        <w:t>the</w:t>
      </w:r>
      <w:r>
        <w:rPr>
          <w:spacing w:val="-2"/>
        </w:rPr>
        <w:t> </w:t>
      </w:r>
      <w:r>
        <w:rPr/>
        <w:t>predicted</w:t>
      </w:r>
      <w:r>
        <w:rPr>
          <w:spacing w:val="-2"/>
        </w:rPr>
        <w:t> </w:t>
      </w:r>
      <w:r>
        <w:rPr/>
        <w:t>2017–2018</w:t>
      </w:r>
      <w:r>
        <w:rPr>
          <w:spacing w:val="-2"/>
        </w:rPr>
        <w:t> </w:t>
      </w:r>
      <w:r>
        <w:rPr/>
        <w:t>recruitments</w:t>
      </w:r>
      <w:r>
        <w:rPr>
          <w:spacing w:val="-2"/>
        </w:rPr>
        <w:t> </w:t>
      </w:r>
      <w:r>
        <w:rPr/>
        <w:t>under</w:t>
      </w:r>
      <w:r>
        <w:rPr>
          <w:spacing w:val="-2"/>
        </w:rPr>
        <w:t> </w:t>
      </w:r>
      <w:r>
        <w:rPr/>
        <w:t>the</w:t>
      </w:r>
      <w:r>
        <w:rPr>
          <w:spacing w:val="-2"/>
        </w:rPr>
        <w:t> </w:t>
      </w:r>
      <w:r>
        <w:rPr/>
        <w:t>short-term</w:t>
      </w:r>
      <w:r>
        <w:rPr>
          <w:spacing w:val="-3"/>
        </w:rPr>
        <w:t> </w:t>
      </w:r>
      <w:r>
        <w:rPr/>
        <w:t>scenario</w:t>
      </w:r>
      <w:r>
        <w:rPr>
          <w:spacing w:val="-4"/>
        </w:rPr>
        <w:t> </w:t>
      </w:r>
      <w:r>
        <w:rPr/>
        <w:t>was</w:t>
      </w:r>
      <w:r>
        <w:rPr>
          <w:spacing w:val="-2"/>
        </w:rPr>
        <w:t> </w:t>
      </w:r>
      <w:r>
        <w:rPr/>
        <w:t>roughly</w:t>
      </w:r>
      <w:r>
        <w:rPr>
          <w:spacing w:val="-4"/>
        </w:rPr>
        <w:t> </w:t>
      </w:r>
      <w:r>
        <w:rPr/>
        <w:t>one-tenth</w:t>
      </w:r>
      <w:r>
        <w:rPr>
          <w:spacing w:val="-2"/>
        </w:rPr>
        <w:t> </w:t>
      </w:r>
      <w:r>
        <w:rPr/>
        <w:t>of the weighted error variance under the long-term recruitment scenario. This result indicated that the short-term scenario provided 10-fold better out-of-sample predictive accuracy than the long- term</w:t>
      </w:r>
      <w:r>
        <w:rPr>
          <w:spacing w:val="-2"/>
        </w:rPr>
        <w:t> </w:t>
      </w:r>
      <w:r>
        <w:rPr/>
        <w:t>scenario for the two most recent recruitments (</w:t>
      </w:r>
      <w:hyperlink w:history="true" w:anchor="_bookmark1">
        <w:r>
          <w:rPr>
            <w:color w:val="0000FF"/>
            <w:u w:val="single" w:color="0000FF"/>
          </w:rPr>
          <w:t>Table 1</w:t>
        </w:r>
      </w:hyperlink>
      <w:r>
        <w:rPr/>
        <w:t>).</w:t>
      </w:r>
      <w:r>
        <w:rPr>
          <w:spacing w:val="-2"/>
        </w:rPr>
        <w:t> </w:t>
      </w:r>
      <w:r>
        <w:rPr/>
        <w:t>In comparison, if</w:t>
      </w:r>
      <w:r>
        <w:rPr>
          <w:spacing w:val="-1"/>
        </w:rPr>
        <w:t> </w:t>
      </w:r>
      <w:r>
        <w:rPr/>
        <w:t>the more variable 2018 recruitment estimate (CV = 44%) was excluded and only the prediction error for the 2017 recruitment estimate (CV = 27%) was used to measure the predictive accuracy of the two recruitment model scenarios, then the short-term scenario produced a more than 100-fold better predictive accuracy for the 2017 recruitment than the long-term scenario.</w:t>
      </w:r>
    </w:p>
    <w:p>
      <w:pPr>
        <w:pStyle w:val="BodyText"/>
        <w:spacing w:before="10"/>
        <w:rPr>
          <w:sz w:val="20"/>
        </w:rPr>
      </w:pPr>
    </w:p>
    <w:p>
      <w:pPr>
        <w:pStyle w:val="BodyText"/>
        <w:ind w:left="120" w:right="839" w:firstLine="273"/>
      </w:pPr>
      <w:r>
        <w:rPr/>
        <w:t>In general, using the long-term recruitment scenario for future stock projections requires the assumption that there is no time trend in the observed long-term recruitment time series. This assumption</w:t>
      </w:r>
      <w:r>
        <w:rPr>
          <w:spacing w:val="-3"/>
        </w:rPr>
        <w:t> </w:t>
      </w:r>
      <w:r>
        <w:rPr/>
        <w:t>has</w:t>
      </w:r>
      <w:r>
        <w:rPr>
          <w:spacing w:val="-3"/>
        </w:rPr>
        <w:t> </w:t>
      </w:r>
      <w:r>
        <w:rPr/>
        <w:t>been</w:t>
      </w:r>
      <w:r>
        <w:rPr>
          <w:spacing w:val="-3"/>
        </w:rPr>
        <w:t> </w:t>
      </w:r>
      <w:r>
        <w:rPr/>
        <w:t>shown</w:t>
      </w:r>
      <w:r>
        <w:rPr>
          <w:spacing w:val="-4"/>
        </w:rPr>
        <w:t> </w:t>
      </w:r>
      <w:r>
        <w:rPr/>
        <w:t>to</w:t>
      </w:r>
      <w:r>
        <w:rPr>
          <w:spacing w:val="-3"/>
        </w:rPr>
        <w:t> </w:t>
      </w:r>
      <w:r>
        <w:rPr/>
        <w:t>have</w:t>
      </w:r>
      <w:r>
        <w:rPr>
          <w:spacing w:val="-3"/>
        </w:rPr>
        <w:t> </w:t>
      </w:r>
      <w:r>
        <w:rPr/>
        <w:t>little</w:t>
      </w:r>
      <w:r>
        <w:rPr>
          <w:spacing w:val="-3"/>
        </w:rPr>
        <w:t> </w:t>
      </w:r>
      <w:r>
        <w:rPr/>
        <w:t>or</w:t>
      </w:r>
      <w:r>
        <w:rPr>
          <w:spacing w:val="-3"/>
        </w:rPr>
        <w:t> </w:t>
      </w:r>
      <w:r>
        <w:rPr/>
        <w:t>no</w:t>
      </w:r>
      <w:r>
        <w:rPr>
          <w:spacing w:val="-5"/>
        </w:rPr>
        <w:t> </w:t>
      </w:r>
      <w:r>
        <w:rPr/>
        <w:t>empirical</w:t>
      </w:r>
      <w:r>
        <w:rPr>
          <w:spacing w:val="-3"/>
        </w:rPr>
        <w:t> </w:t>
      </w:r>
      <w:r>
        <w:rPr/>
        <w:t>statistical</w:t>
      </w:r>
      <w:r>
        <w:rPr>
          <w:spacing w:val="-4"/>
        </w:rPr>
        <w:t> </w:t>
      </w:r>
      <w:r>
        <w:rPr/>
        <w:t>support.</w:t>
      </w:r>
      <w:r>
        <w:rPr>
          <w:spacing w:val="-3"/>
        </w:rPr>
        <w:t> </w:t>
      </w:r>
      <w:r>
        <w:rPr/>
        <w:t>Hence</w:t>
      </w:r>
      <w:r>
        <w:rPr>
          <w:spacing w:val="-4"/>
        </w:rPr>
        <w:t> </w:t>
      </w:r>
      <w:r>
        <w:rPr/>
        <w:t>it</w:t>
      </w:r>
      <w:r>
        <w:rPr>
          <w:spacing w:val="-3"/>
        </w:rPr>
        <w:t> </w:t>
      </w:r>
      <w:r>
        <w:rPr/>
        <w:t>is</w:t>
      </w:r>
      <w:r>
        <w:rPr>
          <w:spacing w:val="-3"/>
        </w:rPr>
        <w:t> </w:t>
      </w:r>
      <w:r>
        <w:rPr/>
        <w:t>necessary to either reject or severely down weight the long-term recruitment scenario as an accurate predictor of future recruitment strength in comparison to the short-term recruitment scenario.</w:t>
      </w:r>
    </w:p>
    <w:p>
      <w:pPr>
        <w:pStyle w:val="BodyText"/>
        <w:ind w:left="120" w:right="893"/>
      </w:pPr>
      <w:r>
        <w:rPr/>
        <w:t>While this post-hoc analysis was conducted after the Billfish Working Group completed the stock assessment estimations and projections for the peer-reviewed and accepted 2019 stock assessment</w:t>
      </w:r>
      <w:r>
        <w:rPr>
          <w:spacing w:val="-2"/>
        </w:rPr>
        <w:t> </w:t>
      </w:r>
      <w:r>
        <w:rPr/>
        <w:t>of</w:t>
      </w:r>
      <w:r>
        <w:rPr>
          <w:spacing w:val="-1"/>
        </w:rPr>
        <w:t> </w:t>
      </w:r>
      <w:r>
        <w:rPr/>
        <w:t>WCNPO</w:t>
      </w:r>
      <w:r>
        <w:rPr>
          <w:spacing w:val="-1"/>
        </w:rPr>
        <w:t> </w:t>
      </w:r>
      <w:r>
        <w:rPr/>
        <w:t>striped</w:t>
      </w:r>
      <w:r>
        <w:rPr>
          <w:spacing w:val="-2"/>
        </w:rPr>
        <w:t> </w:t>
      </w:r>
      <w:r>
        <w:rPr/>
        <w:t>marlin</w:t>
      </w:r>
      <w:r>
        <w:rPr>
          <w:spacing w:val="-1"/>
        </w:rPr>
        <w:t> </w:t>
      </w:r>
      <w:r>
        <w:rPr/>
        <w:t>(ISC</w:t>
      </w:r>
      <w:r>
        <w:rPr>
          <w:spacing w:val="-2"/>
        </w:rPr>
        <w:t> </w:t>
      </w:r>
      <w:r>
        <w:rPr/>
        <w:t>2019),</w:t>
      </w:r>
      <w:r>
        <w:rPr>
          <w:spacing w:val="-1"/>
        </w:rPr>
        <w:t> </w:t>
      </w:r>
      <w:r>
        <w:rPr/>
        <w:t>it</w:t>
      </w:r>
      <w:r>
        <w:rPr>
          <w:spacing w:val="-2"/>
        </w:rPr>
        <w:t> </w:t>
      </w:r>
      <w:r>
        <w:rPr/>
        <w:t>does</w:t>
      </w:r>
      <w:r>
        <w:rPr>
          <w:spacing w:val="-1"/>
        </w:rPr>
        <w:t> </w:t>
      </w:r>
      <w:r>
        <w:rPr/>
        <w:t>not</w:t>
      </w:r>
      <w:r>
        <w:rPr>
          <w:spacing w:val="-2"/>
        </w:rPr>
        <w:t> </w:t>
      </w:r>
      <w:r>
        <w:rPr/>
        <w:t>affect</w:t>
      </w:r>
      <w:r>
        <w:rPr>
          <w:spacing w:val="-1"/>
        </w:rPr>
        <w:t> </w:t>
      </w:r>
      <w:r>
        <w:rPr/>
        <w:t>the</w:t>
      </w:r>
      <w:r>
        <w:rPr>
          <w:spacing w:val="-2"/>
        </w:rPr>
        <w:t> </w:t>
      </w:r>
      <w:r>
        <w:rPr/>
        <w:t>validity</w:t>
      </w:r>
      <w:r>
        <w:rPr>
          <w:spacing w:val="-1"/>
        </w:rPr>
        <w:t> </w:t>
      </w:r>
      <w:r>
        <w:rPr/>
        <w:t>of</w:t>
      </w:r>
      <w:r>
        <w:rPr>
          <w:spacing w:val="-2"/>
        </w:rPr>
        <w:t> </w:t>
      </w:r>
      <w:r>
        <w:rPr/>
        <w:t>the</w:t>
      </w:r>
      <w:r>
        <w:rPr>
          <w:spacing w:val="-2"/>
        </w:rPr>
        <w:t> analyses.</w:t>
      </w:r>
    </w:p>
    <w:p>
      <w:pPr>
        <w:pStyle w:val="BodyText"/>
        <w:spacing w:before="9"/>
        <w:rPr>
          <w:sz w:val="20"/>
        </w:rPr>
      </w:pPr>
    </w:p>
    <w:p>
      <w:pPr>
        <w:pStyle w:val="BodyText"/>
        <w:ind w:left="119" w:right="893" w:firstLine="273"/>
      </w:pPr>
      <w:r>
        <w:rPr/>
        <w:t>We also want to comment that one of the primary sources of information for recruitment in a Stock Synthesis model is the size composition data. In</w:t>
      </w:r>
      <w:r>
        <w:rPr>
          <w:spacing w:val="-2"/>
        </w:rPr>
        <w:t> </w:t>
      </w:r>
      <w:r>
        <w:rPr/>
        <w:t>the 2019 striped</w:t>
      </w:r>
      <w:r>
        <w:rPr>
          <w:spacing w:val="-2"/>
        </w:rPr>
        <w:t> </w:t>
      </w:r>
      <w:r>
        <w:rPr/>
        <w:t>marlin stock</w:t>
      </w:r>
      <w:r>
        <w:rPr>
          <w:spacing w:val="-2"/>
        </w:rPr>
        <w:t> </w:t>
      </w:r>
      <w:r>
        <w:rPr/>
        <w:t>assessment, length frequency data were the primary input for fish size composition information. In periods with poor quality information or no data to inform recruitment, estimated recruitments can exhibit high variability, indicating that estimates of individual annual recruitment values have low precision (Methot and Wetzel 2013). Simulation work has suggested that periods without size information decrease the accuracy of recruitment estimates making them less reliable than periods with size data. Stock Synthesis can identify the number of small fish in a population, which provides an estimate of recruitment (Ono et al. 2014). For the 2019 striped marlin assessment, the time series of high−quality length composition data were only available starting in</w:t>
      </w:r>
      <w:r>
        <w:rPr>
          <w:spacing w:val="-3"/>
        </w:rPr>
        <w:t> </w:t>
      </w:r>
      <w:r>
        <w:rPr/>
        <w:t>1993,</w:t>
      </w:r>
      <w:r>
        <w:rPr>
          <w:spacing w:val="-3"/>
        </w:rPr>
        <w:t> </w:t>
      </w:r>
      <w:r>
        <w:rPr/>
        <w:t>but</w:t>
      </w:r>
      <w:r>
        <w:rPr>
          <w:spacing w:val="-4"/>
        </w:rPr>
        <w:t> </w:t>
      </w:r>
      <w:r>
        <w:rPr/>
        <w:t>the</w:t>
      </w:r>
      <w:r>
        <w:rPr>
          <w:spacing w:val="-3"/>
        </w:rPr>
        <w:t> </w:t>
      </w:r>
      <w:r>
        <w:rPr/>
        <w:t>age-0</w:t>
      </w:r>
      <w:r>
        <w:rPr>
          <w:spacing w:val="-3"/>
        </w:rPr>
        <w:t> </w:t>
      </w:r>
      <w:r>
        <w:rPr/>
        <w:t>model-based</w:t>
      </w:r>
      <w:r>
        <w:rPr>
          <w:spacing w:val="-3"/>
        </w:rPr>
        <w:t> </w:t>
      </w:r>
      <w:r>
        <w:rPr/>
        <w:t>estimates</w:t>
      </w:r>
      <w:r>
        <w:rPr>
          <w:spacing w:val="-3"/>
        </w:rPr>
        <w:t> </w:t>
      </w:r>
      <w:r>
        <w:rPr/>
        <w:t>of</w:t>
      </w:r>
      <w:r>
        <w:rPr>
          <w:spacing w:val="-4"/>
        </w:rPr>
        <w:t> </w:t>
      </w:r>
      <w:r>
        <w:rPr/>
        <w:t>recruitment</w:t>
      </w:r>
      <w:r>
        <w:rPr>
          <w:spacing w:val="-3"/>
        </w:rPr>
        <w:t> </w:t>
      </w:r>
      <w:r>
        <w:rPr/>
        <w:t>started</w:t>
      </w:r>
      <w:r>
        <w:rPr>
          <w:spacing w:val="-3"/>
        </w:rPr>
        <w:t> </w:t>
      </w:r>
      <w:r>
        <w:rPr/>
        <w:t>in</w:t>
      </w:r>
      <w:r>
        <w:rPr>
          <w:spacing w:val="-3"/>
        </w:rPr>
        <w:t> </w:t>
      </w:r>
      <w:r>
        <w:rPr/>
        <w:t>1975.</w:t>
      </w:r>
      <w:r>
        <w:rPr>
          <w:spacing w:val="-3"/>
        </w:rPr>
        <w:t> </w:t>
      </w:r>
      <w:r>
        <w:rPr/>
        <w:t>Thus,</w:t>
      </w:r>
      <w:r>
        <w:rPr>
          <w:spacing w:val="-3"/>
        </w:rPr>
        <w:t> </w:t>
      </w:r>
      <w:r>
        <w:rPr/>
        <w:t>the</w:t>
      </w:r>
      <w:r>
        <w:rPr>
          <w:spacing w:val="-4"/>
        </w:rPr>
        <w:t> </w:t>
      </w:r>
      <w:r>
        <w:rPr/>
        <w:t>individual estimates of recruitments in the early part of the model time horizon (circa 1975–1992) are highly uncertain (</w:t>
      </w:r>
      <w:hyperlink w:history="true" w:anchor="_bookmark2">
        <w:r>
          <w:rPr>
            <w:color w:val="0000FF"/>
            <w:u w:val="single" w:color="0000FF"/>
          </w:rPr>
          <w:t>Figure 1</w:t>
        </w:r>
      </w:hyperlink>
      <w:r>
        <w:rPr/>
        <w:t>). However, while individual recruitment estimates are uncertain, the overall pattern of the stock producing much higher recruitment, on average, in the early part of</w:t>
      </w:r>
    </w:p>
    <w:p>
      <w:pPr>
        <w:pStyle w:val="BodyText"/>
        <w:rPr>
          <w:sz w:val="20"/>
        </w:rPr>
      </w:pPr>
    </w:p>
    <w:p>
      <w:pPr>
        <w:pStyle w:val="BodyText"/>
        <w:spacing w:before="4"/>
        <w:rPr>
          <w:sz w:val="14"/>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120149</wp:posOffset>
                </wp:positionV>
                <wp:extent cx="1828800" cy="762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828800" cy="7620"/>
                        </a:xfrm>
                        <a:custGeom>
                          <a:avLst/>
                          <a:gdLst/>
                          <a:ahLst/>
                          <a:cxnLst/>
                          <a:rect l="l" t="t" r="r" b="b"/>
                          <a:pathLst>
                            <a:path w="1828800" h="7620">
                              <a:moveTo>
                                <a:pt x="1828800" y="0"/>
                              </a:moveTo>
                              <a:lnTo>
                                <a:pt x="0" y="0"/>
                              </a:lnTo>
                              <a:lnTo>
                                <a:pt x="0" y="7607"/>
                              </a:lnTo>
                              <a:lnTo>
                                <a:pt x="1828800" y="760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9.460609pt;width:144pt;height:.599pt;mso-position-horizontal-relative:page;mso-position-vertical-relative:paragraph;z-index:-15728640;mso-wrap-distance-left:0;mso-wrap-distance-right:0" id="docshape2" filled="true" fillcolor="#000000" stroked="false">
                <v:fill type="solid"/>
                <w10:wrap type="topAndBottom"/>
              </v:rect>
            </w:pict>
          </mc:Fallback>
        </mc:AlternateContent>
      </w:r>
    </w:p>
    <w:p>
      <w:pPr>
        <w:pStyle w:val="BodyText"/>
        <w:spacing w:before="2"/>
        <w:rPr>
          <w:sz w:val="22"/>
        </w:rPr>
      </w:pPr>
    </w:p>
    <w:p>
      <w:pPr>
        <w:spacing w:line="243" w:lineRule="exact" w:before="88"/>
        <w:ind w:left="120" w:right="0" w:firstLine="0"/>
        <w:jc w:val="left"/>
        <w:rPr>
          <w:sz w:val="20"/>
        </w:rPr>
      </w:pPr>
      <w:bookmarkStart w:name="_bookmark0" w:id="5"/>
      <w:bookmarkEnd w:id="5"/>
      <w:r>
        <w:rPr/>
      </w:r>
      <w:r>
        <w:rPr>
          <w:rFonts w:ascii="Calibri"/>
          <w:sz w:val="20"/>
          <w:vertAlign w:val="superscript"/>
        </w:rPr>
        <w:t>1</w:t>
      </w:r>
      <w:r>
        <w:rPr>
          <w:rFonts w:ascii="Calibri"/>
          <w:spacing w:val="-4"/>
          <w:sz w:val="20"/>
          <w:vertAlign w:val="baseline"/>
        </w:rPr>
        <w:t> </w:t>
      </w:r>
      <w:r>
        <w:rPr>
          <w:sz w:val="20"/>
          <w:vertAlign w:val="baseline"/>
        </w:rPr>
        <w:t>Similar</w:t>
      </w:r>
      <w:r>
        <w:rPr>
          <w:spacing w:val="-5"/>
          <w:sz w:val="20"/>
          <w:vertAlign w:val="baseline"/>
        </w:rPr>
        <w:t> </w:t>
      </w:r>
      <w:r>
        <w:rPr>
          <w:sz w:val="20"/>
          <w:vertAlign w:val="baseline"/>
        </w:rPr>
        <w:t>regression</w:t>
      </w:r>
      <w:r>
        <w:rPr>
          <w:spacing w:val="-5"/>
          <w:sz w:val="20"/>
          <w:vertAlign w:val="baseline"/>
        </w:rPr>
        <w:t> </w:t>
      </w:r>
      <w:r>
        <w:rPr>
          <w:sz w:val="20"/>
          <w:vertAlign w:val="baseline"/>
        </w:rPr>
        <w:t>analyses</w:t>
      </w:r>
      <w:r>
        <w:rPr>
          <w:spacing w:val="-4"/>
          <w:sz w:val="20"/>
          <w:vertAlign w:val="baseline"/>
        </w:rPr>
        <w:t> </w:t>
      </w:r>
      <w:r>
        <w:rPr>
          <w:sz w:val="20"/>
          <w:vertAlign w:val="baseline"/>
        </w:rPr>
        <w:t>conducted</w:t>
      </w:r>
      <w:r>
        <w:rPr>
          <w:spacing w:val="-5"/>
          <w:sz w:val="20"/>
          <w:vertAlign w:val="baseline"/>
        </w:rPr>
        <w:t> </w:t>
      </w:r>
      <w:r>
        <w:rPr>
          <w:sz w:val="20"/>
          <w:vertAlign w:val="baseline"/>
        </w:rPr>
        <w:t>on</w:t>
      </w:r>
      <w:r>
        <w:rPr>
          <w:spacing w:val="-4"/>
          <w:sz w:val="20"/>
          <w:vertAlign w:val="baseline"/>
        </w:rPr>
        <w:t> </w:t>
      </w:r>
      <w:r>
        <w:rPr>
          <w:sz w:val="20"/>
          <w:vertAlign w:val="baseline"/>
        </w:rPr>
        <w:t>the</w:t>
      </w:r>
      <w:r>
        <w:rPr>
          <w:spacing w:val="-4"/>
          <w:sz w:val="20"/>
          <w:vertAlign w:val="baseline"/>
        </w:rPr>
        <w:t> </w:t>
      </w:r>
      <w:r>
        <w:rPr>
          <w:sz w:val="20"/>
          <w:vertAlign w:val="baseline"/>
        </w:rPr>
        <w:t>log-scale</w:t>
      </w:r>
      <w:r>
        <w:rPr>
          <w:spacing w:val="-5"/>
          <w:sz w:val="20"/>
          <w:vertAlign w:val="baseline"/>
        </w:rPr>
        <w:t> </w:t>
      </w:r>
      <w:r>
        <w:rPr>
          <w:sz w:val="20"/>
          <w:vertAlign w:val="baseline"/>
        </w:rPr>
        <w:t>recruitment</w:t>
      </w:r>
      <w:r>
        <w:rPr>
          <w:spacing w:val="-5"/>
          <w:sz w:val="20"/>
          <w:vertAlign w:val="baseline"/>
        </w:rPr>
        <w:t> </w:t>
      </w:r>
      <w:r>
        <w:rPr>
          <w:sz w:val="20"/>
          <w:vertAlign w:val="baseline"/>
        </w:rPr>
        <w:t>residuals</w:t>
      </w:r>
      <w:r>
        <w:rPr>
          <w:spacing w:val="-5"/>
          <w:sz w:val="20"/>
          <w:vertAlign w:val="baseline"/>
        </w:rPr>
        <w:t> </w:t>
      </w:r>
      <w:r>
        <w:rPr>
          <w:sz w:val="20"/>
          <w:vertAlign w:val="baseline"/>
        </w:rPr>
        <w:t>also</w:t>
      </w:r>
      <w:r>
        <w:rPr>
          <w:spacing w:val="-3"/>
          <w:sz w:val="20"/>
          <w:vertAlign w:val="baseline"/>
        </w:rPr>
        <w:t> </w:t>
      </w:r>
      <w:r>
        <w:rPr>
          <w:sz w:val="20"/>
          <w:vertAlign w:val="baseline"/>
        </w:rPr>
        <w:t>confirmed</w:t>
      </w:r>
      <w:r>
        <w:rPr>
          <w:spacing w:val="-3"/>
          <w:sz w:val="20"/>
          <w:vertAlign w:val="baseline"/>
        </w:rPr>
        <w:t> </w:t>
      </w:r>
      <w:r>
        <w:rPr>
          <w:sz w:val="20"/>
          <w:vertAlign w:val="baseline"/>
        </w:rPr>
        <w:t>the</w:t>
      </w:r>
      <w:r>
        <w:rPr>
          <w:spacing w:val="-5"/>
          <w:sz w:val="20"/>
          <w:vertAlign w:val="baseline"/>
        </w:rPr>
        <w:t> </w:t>
      </w:r>
      <w:r>
        <w:rPr>
          <w:sz w:val="20"/>
          <w:vertAlign w:val="baseline"/>
        </w:rPr>
        <w:t>existence</w:t>
      </w:r>
      <w:r>
        <w:rPr>
          <w:spacing w:val="-5"/>
          <w:sz w:val="20"/>
          <w:vertAlign w:val="baseline"/>
        </w:rPr>
        <w:t> </w:t>
      </w:r>
      <w:r>
        <w:rPr>
          <w:sz w:val="20"/>
          <w:vertAlign w:val="baseline"/>
        </w:rPr>
        <w:t>of</w:t>
      </w:r>
      <w:r>
        <w:rPr>
          <w:spacing w:val="-5"/>
          <w:sz w:val="20"/>
          <w:vertAlign w:val="baseline"/>
        </w:rPr>
        <w:t> </w:t>
      </w:r>
      <w:r>
        <w:rPr>
          <w:spacing w:val="-10"/>
          <w:sz w:val="20"/>
          <w:vertAlign w:val="baseline"/>
        </w:rPr>
        <w:t>a</w:t>
      </w:r>
    </w:p>
    <w:p>
      <w:pPr>
        <w:spacing w:before="0"/>
        <w:ind w:left="119" w:right="839" w:firstLine="0"/>
        <w:jc w:val="left"/>
        <w:rPr>
          <w:sz w:val="20"/>
        </w:rPr>
      </w:pPr>
      <w:r>
        <w:rPr>
          <w:sz w:val="20"/>
        </w:rPr>
        <w:t>long-term</w:t>
      </w:r>
      <w:r>
        <w:rPr>
          <w:spacing w:val="-4"/>
          <w:sz w:val="20"/>
        </w:rPr>
        <w:t> </w:t>
      </w:r>
      <w:r>
        <w:rPr>
          <w:sz w:val="20"/>
        </w:rPr>
        <w:t>declining</w:t>
      </w:r>
      <w:r>
        <w:rPr>
          <w:spacing w:val="-1"/>
          <w:sz w:val="20"/>
        </w:rPr>
        <w:t> </w:t>
      </w:r>
      <w:r>
        <w:rPr>
          <w:sz w:val="20"/>
        </w:rPr>
        <w:t>trend</w:t>
      </w:r>
      <w:r>
        <w:rPr>
          <w:spacing w:val="-1"/>
          <w:sz w:val="20"/>
        </w:rPr>
        <w:t> </w:t>
      </w:r>
      <w:r>
        <w:rPr>
          <w:sz w:val="20"/>
        </w:rPr>
        <w:t>in</w:t>
      </w:r>
      <w:r>
        <w:rPr>
          <w:spacing w:val="-3"/>
          <w:sz w:val="20"/>
        </w:rPr>
        <w:t> </w:t>
      </w:r>
      <w:r>
        <w:rPr>
          <w:sz w:val="20"/>
        </w:rPr>
        <w:t>recruitment</w:t>
      </w:r>
      <w:r>
        <w:rPr>
          <w:spacing w:val="-3"/>
          <w:sz w:val="20"/>
        </w:rPr>
        <w:t> </w:t>
      </w:r>
      <w:r>
        <w:rPr>
          <w:sz w:val="20"/>
        </w:rPr>
        <w:t>even</w:t>
      </w:r>
      <w:r>
        <w:rPr>
          <w:spacing w:val="-3"/>
          <w:sz w:val="20"/>
        </w:rPr>
        <w:t> </w:t>
      </w:r>
      <w:r>
        <w:rPr>
          <w:sz w:val="20"/>
        </w:rPr>
        <w:t>after</w:t>
      </w:r>
      <w:r>
        <w:rPr>
          <w:spacing w:val="-2"/>
          <w:sz w:val="20"/>
        </w:rPr>
        <w:t> </w:t>
      </w:r>
      <w:r>
        <w:rPr>
          <w:sz w:val="20"/>
        </w:rPr>
        <w:t>accounting</w:t>
      </w:r>
      <w:r>
        <w:rPr>
          <w:spacing w:val="-3"/>
          <w:sz w:val="20"/>
        </w:rPr>
        <w:t> </w:t>
      </w:r>
      <w:r>
        <w:rPr>
          <w:sz w:val="20"/>
        </w:rPr>
        <w:t>for</w:t>
      </w:r>
      <w:r>
        <w:rPr>
          <w:spacing w:val="-3"/>
          <w:sz w:val="20"/>
        </w:rPr>
        <w:t> </w:t>
      </w:r>
      <w:r>
        <w:rPr>
          <w:sz w:val="20"/>
        </w:rPr>
        <w:t>the</w:t>
      </w:r>
      <w:r>
        <w:rPr>
          <w:spacing w:val="-2"/>
          <w:sz w:val="20"/>
        </w:rPr>
        <w:t> </w:t>
      </w:r>
      <w:r>
        <w:rPr>
          <w:sz w:val="20"/>
        </w:rPr>
        <w:t>maternal</w:t>
      </w:r>
      <w:r>
        <w:rPr>
          <w:spacing w:val="-3"/>
          <w:sz w:val="20"/>
        </w:rPr>
        <w:t> </w:t>
      </w:r>
      <w:r>
        <w:rPr>
          <w:sz w:val="20"/>
        </w:rPr>
        <w:t>effect</w:t>
      </w:r>
      <w:r>
        <w:rPr>
          <w:spacing w:val="-4"/>
          <w:sz w:val="20"/>
        </w:rPr>
        <w:t> </w:t>
      </w:r>
      <w:r>
        <w:rPr>
          <w:sz w:val="20"/>
        </w:rPr>
        <w:t>of</w:t>
      </w:r>
      <w:r>
        <w:rPr>
          <w:spacing w:val="-3"/>
          <w:sz w:val="20"/>
        </w:rPr>
        <w:t> </w:t>
      </w:r>
      <w:r>
        <w:rPr>
          <w:sz w:val="20"/>
        </w:rPr>
        <w:t>declining</w:t>
      </w:r>
      <w:r>
        <w:rPr>
          <w:spacing w:val="-3"/>
          <w:sz w:val="20"/>
        </w:rPr>
        <w:t> </w:t>
      </w:r>
      <w:r>
        <w:rPr>
          <w:sz w:val="20"/>
        </w:rPr>
        <w:t>spawning</w:t>
      </w:r>
      <w:r>
        <w:rPr>
          <w:spacing w:val="-3"/>
          <w:sz w:val="20"/>
        </w:rPr>
        <w:t> </w:t>
      </w:r>
      <w:r>
        <w:rPr>
          <w:sz w:val="20"/>
        </w:rPr>
        <w:t>stock</w:t>
      </w:r>
      <w:r>
        <w:rPr>
          <w:spacing w:val="-1"/>
          <w:sz w:val="20"/>
        </w:rPr>
        <w:t> </w:t>
      </w:r>
      <w:r>
        <w:rPr>
          <w:sz w:val="20"/>
        </w:rPr>
        <w:t>in the stock-recruitment relationship.</w:t>
      </w:r>
    </w:p>
    <w:p>
      <w:pPr>
        <w:spacing w:after="0"/>
        <w:jc w:val="left"/>
        <w:rPr>
          <w:sz w:val="20"/>
        </w:rPr>
        <w:sectPr>
          <w:pgSz w:w="12240" w:h="15840"/>
          <w:pgMar w:header="0" w:footer="984" w:top="1340" w:bottom="1180" w:left="1320" w:right="600"/>
        </w:sectPr>
      </w:pPr>
    </w:p>
    <w:p>
      <w:pPr>
        <w:pStyle w:val="BodyText"/>
        <w:spacing w:before="78"/>
        <w:ind w:left="119" w:right="903"/>
      </w:pPr>
      <w:r>
        <w:rPr/>
        <w:t>the</w:t>
      </w:r>
      <w:r>
        <w:rPr>
          <w:spacing w:val="-3"/>
        </w:rPr>
        <w:t> </w:t>
      </w:r>
      <w:r>
        <w:rPr/>
        <w:t>time</w:t>
      </w:r>
      <w:r>
        <w:rPr>
          <w:spacing w:val="-3"/>
        </w:rPr>
        <w:t> </w:t>
      </w:r>
      <w:r>
        <w:rPr/>
        <w:t>series</w:t>
      </w:r>
      <w:r>
        <w:rPr>
          <w:spacing w:val="-3"/>
        </w:rPr>
        <w:t> </w:t>
      </w:r>
      <w:r>
        <w:rPr/>
        <w:t>is</w:t>
      </w:r>
      <w:r>
        <w:rPr>
          <w:spacing w:val="-3"/>
        </w:rPr>
        <w:t> </w:t>
      </w:r>
      <w:r>
        <w:rPr/>
        <w:t>robust</w:t>
      </w:r>
      <w:r>
        <w:rPr>
          <w:spacing w:val="-4"/>
        </w:rPr>
        <w:t> </w:t>
      </w:r>
      <w:r>
        <w:rPr/>
        <w:t>because</w:t>
      </w:r>
      <w:r>
        <w:rPr>
          <w:spacing w:val="-4"/>
        </w:rPr>
        <w:t> </w:t>
      </w:r>
      <w:r>
        <w:rPr/>
        <w:t>larger</w:t>
      </w:r>
      <w:r>
        <w:rPr>
          <w:spacing w:val="-3"/>
        </w:rPr>
        <w:t> </w:t>
      </w:r>
      <w:r>
        <w:rPr/>
        <w:t>recruitments</w:t>
      </w:r>
      <w:r>
        <w:rPr>
          <w:spacing w:val="-3"/>
        </w:rPr>
        <w:t> </w:t>
      </w:r>
      <w:r>
        <w:rPr/>
        <w:t>were</w:t>
      </w:r>
      <w:r>
        <w:rPr>
          <w:spacing w:val="-3"/>
        </w:rPr>
        <w:t> </w:t>
      </w:r>
      <w:r>
        <w:rPr/>
        <w:t>what</w:t>
      </w:r>
      <w:r>
        <w:rPr>
          <w:spacing w:val="-3"/>
        </w:rPr>
        <w:t> </w:t>
      </w:r>
      <w:r>
        <w:rPr/>
        <w:t>was</w:t>
      </w:r>
      <w:r>
        <w:rPr>
          <w:spacing w:val="-3"/>
        </w:rPr>
        <w:t> </w:t>
      </w:r>
      <w:r>
        <w:rPr/>
        <w:t>minimally</w:t>
      </w:r>
      <w:r>
        <w:rPr>
          <w:spacing w:val="-4"/>
        </w:rPr>
        <w:t> </w:t>
      </w:r>
      <w:r>
        <w:rPr/>
        <w:t>needed</w:t>
      </w:r>
      <w:r>
        <w:rPr>
          <w:spacing w:val="-3"/>
        </w:rPr>
        <w:t> </w:t>
      </w:r>
      <w:r>
        <w:rPr/>
        <w:t>to</w:t>
      </w:r>
      <w:r>
        <w:rPr>
          <w:spacing w:val="-3"/>
        </w:rPr>
        <w:t> </w:t>
      </w:r>
      <w:r>
        <w:rPr/>
        <w:t>explain the observed catches in the fishery. Nonetheless, the most important point to note is that the overall pattern of recruitment for WCNPO striped marlin shows a clear significant decline over time. This decreasing trend is not consistent with using the long-term recruitment scenario, which</w:t>
      </w:r>
      <w:r>
        <w:rPr>
          <w:spacing w:val="-1"/>
        </w:rPr>
        <w:t> </w:t>
      </w:r>
      <w:r>
        <w:rPr/>
        <w:t>treats</w:t>
      </w:r>
      <w:r>
        <w:rPr>
          <w:spacing w:val="-2"/>
        </w:rPr>
        <w:t> </w:t>
      </w:r>
      <w:r>
        <w:rPr/>
        <w:t>all</w:t>
      </w:r>
      <w:r>
        <w:rPr>
          <w:spacing w:val="-1"/>
        </w:rPr>
        <w:t> </w:t>
      </w:r>
      <w:r>
        <w:rPr/>
        <w:t>of</w:t>
      </w:r>
      <w:r>
        <w:rPr>
          <w:spacing w:val="-2"/>
        </w:rPr>
        <w:t> </w:t>
      </w:r>
      <w:r>
        <w:rPr/>
        <w:t>the</w:t>
      </w:r>
      <w:r>
        <w:rPr>
          <w:spacing w:val="-1"/>
        </w:rPr>
        <w:t> </w:t>
      </w:r>
      <w:r>
        <w:rPr/>
        <w:t>observed</w:t>
      </w:r>
      <w:r>
        <w:rPr>
          <w:spacing w:val="-1"/>
        </w:rPr>
        <w:t> </w:t>
      </w:r>
      <w:r>
        <w:rPr/>
        <w:t>recruitments</w:t>
      </w:r>
      <w:r>
        <w:rPr>
          <w:spacing w:val="-1"/>
        </w:rPr>
        <w:t> </w:t>
      </w:r>
      <w:r>
        <w:rPr/>
        <w:t>during</w:t>
      </w:r>
      <w:r>
        <w:rPr>
          <w:spacing w:val="-1"/>
        </w:rPr>
        <w:t> </w:t>
      </w:r>
      <w:r>
        <w:rPr/>
        <w:t>1976–2016</w:t>
      </w:r>
      <w:r>
        <w:rPr>
          <w:spacing w:val="-1"/>
        </w:rPr>
        <w:t> </w:t>
      </w:r>
      <w:r>
        <w:rPr/>
        <w:t>as</w:t>
      </w:r>
      <w:r>
        <w:rPr>
          <w:spacing w:val="-1"/>
        </w:rPr>
        <w:t> </w:t>
      </w:r>
      <w:r>
        <w:rPr/>
        <w:t>being</w:t>
      </w:r>
      <w:r>
        <w:rPr>
          <w:spacing w:val="-3"/>
        </w:rPr>
        <w:t> </w:t>
      </w:r>
      <w:r>
        <w:rPr/>
        <w:t>equally</w:t>
      </w:r>
      <w:r>
        <w:rPr>
          <w:spacing w:val="-3"/>
        </w:rPr>
        <w:t> </w:t>
      </w:r>
      <w:r>
        <w:rPr/>
        <w:t>likely</w:t>
      </w:r>
      <w:r>
        <w:rPr>
          <w:spacing w:val="-1"/>
        </w:rPr>
        <w:t> </w:t>
      </w:r>
      <w:r>
        <w:rPr/>
        <w:t>to</w:t>
      </w:r>
      <w:r>
        <w:rPr>
          <w:spacing w:val="-1"/>
        </w:rPr>
        <w:t> </w:t>
      </w:r>
      <w:r>
        <w:rPr/>
        <w:t>model the distribution of future recruitment.</w:t>
      </w:r>
    </w:p>
    <w:p>
      <w:pPr>
        <w:pStyle w:val="BodyText"/>
        <w:spacing w:before="10"/>
        <w:rPr>
          <w:sz w:val="20"/>
        </w:rPr>
      </w:pPr>
    </w:p>
    <w:p>
      <w:pPr>
        <w:pStyle w:val="BodyText"/>
        <w:ind w:left="119" w:right="883" w:firstLine="273"/>
      </w:pPr>
      <w:r>
        <w:rPr/>
        <w:t>In addition, because recruitment for billfish has been shown to be autocorrelated, it is reasonable</w:t>
      </w:r>
      <w:r>
        <w:rPr>
          <w:spacing w:val="-1"/>
        </w:rPr>
        <w:t> </w:t>
      </w:r>
      <w:r>
        <w:rPr/>
        <w:t>to</w:t>
      </w:r>
      <w:r>
        <w:rPr>
          <w:spacing w:val="-1"/>
        </w:rPr>
        <w:t> </w:t>
      </w:r>
      <w:r>
        <w:rPr/>
        <w:t>assume</w:t>
      </w:r>
      <w:r>
        <w:rPr>
          <w:spacing w:val="-1"/>
        </w:rPr>
        <w:t> </w:t>
      </w:r>
      <w:r>
        <w:rPr/>
        <w:t>that</w:t>
      </w:r>
      <w:r>
        <w:rPr>
          <w:spacing w:val="-1"/>
        </w:rPr>
        <w:t> </w:t>
      </w:r>
      <w:r>
        <w:rPr/>
        <w:t>future</w:t>
      </w:r>
      <w:r>
        <w:rPr>
          <w:spacing w:val="-2"/>
        </w:rPr>
        <w:t> </w:t>
      </w:r>
      <w:r>
        <w:rPr/>
        <w:t>recruitment</w:t>
      </w:r>
      <w:r>
        <w:rPr>
          <w:spacing w:val="-1"/>
        </w:rPr>
        <w:t> </w:t>
      </w:r>
      <w:r>
        <w:rPr/>
        <w:t>is</w:t>
      </w:r>
      <w:r>
        <w:rPr>
          <w:spacing w:val="-2"/>
        </w:rPr>
        <w:t> </w:t>
      </w:r>
      <w:r>
        <w:rPr/>
        <w:t>more</w:t>
      </w:r>
      <w:r>
        <w:rPr>
          <w:spacing w:val="-1"/>
        </w:rPr>
        <w:t> </w:t>
      </w:r>
      <w:r>
        <w:rPr/>
        <w:t>likely</w:t>
      </w:r>
      <w:r>
        <w:rPr>
          <w:spacing w:val="-1"/>
        </w:rPr>
        <w:t> </w:t>
      </w:r>
      <w:r>
        <w:rPr/>
        <w:t>to</w:t>
      </w:r>
      <w:r>
        <w:rPr>
          <w:spacing w:val="-1"/>
        </w:rPr>
        <w:t> </w:t>
      </w:r>
      <w:r>
        <w:rPr/>
        <w:t>continue</w:t>
      </w:r>
      <w:r>
        <w:rPr>
          <w:spacing w:val="-1"/>
        </w:rPr>
        <w:t> </w:t>
      </w:r>
      <w:r>
        <w:rPr/>
        <w:t>following</w:t>
      </w:r>
      <w:r>
        <w:rPr>
          <w:spacing w:val="-1"/>
        </w:rPr>
        <w:t> </w:t>
      </w:r>
      <w:r>
        <w:rPr/>
        <w:t>the</w:t>
      </w:r>
      <w:r>
        <w:rPr>
          <w:spacing w:val="-1"/>
        </w:rPr>
        <w:t> </w:t>
      </w:r>
      <w:r>
        <w:rPr/>
        <w:t>most</w:t>
      </w:r>
      <w:r>
        <w:rPr>
          <w:spacing w:val="-1"/>
        </w:rPr>
        <w:t> </w:t>
      </w:r>
      <w:r>
        <w:rPr/>
        <w:t>recent trend (Thorson et al. 2014). In particular, the autocorrelation function (ACF) for the time series of standardized recruitment residuals during 1976–2018 indicates that significant positive autocorrelations</w:t>
      </w:r>
      <w:r>
        <w:rPr>
          <w:spacing w:val="-2"/>
        </w:rPr>
        <w:t> </w:t>
      </w:r>
      <w:r>
        <w:rPr/>
        <w:t>exist</w:t>
      </w:r>
      <w:r>
        <w:rPr>
          <w:spacing w:val="-3"/>
        </w:rPr>
        <w:t> </w:t>
      </w:r>
      <w:r>
        <w:rPr/>
        <w:t>at</w:t>
      </w:r>
      <w:r>
        <w:rPr>
          <w:spacing w:val="-3"/>
        </w:rPr>
        <w:t> </w:t>
      </w:r>
      <w:r>
        <w:rPr/>
        <w:t>time</w:t>
      </w:r>
      <w:r>
        <w:rPr>
          <w:spacing w:val="-2"/>
        </w:rPr>
        <w:t> </w:t>
      </w:r>
      <w:r>
        <w:rPr/>
        <w:t>lags</w:t>
      </w:r>
      <w:r>
        <w:rPr>
          <w:spacing w:val="-2"/>
        </w:rPr>
        <w:t> </w:t>
      </w:r>
      <w:r>
        <w:rPr/>
        <w:t>of</w:t>
      </w:r>
      <w:r>
        <w:rPr>
          <w:spacing w:val="-2"/>
        </w:rPr>
        <w:t> </w:t>
      </w:r>
      <w:r>
        <w:rPr/>
        <w:t>1,</w:t>
      </w:r>
      <w:r>
        <w:rPr>
          <w:spacing w:val="-2"/>
        </w:rPr>
        <w:t> </w:t>
      </w:r>
      <w:r>
        <w:rPr/>
        <w:t>5,</w:t>
      </w:r>
      <w:r>
        <w:rPr>
          <w:spacing w:val="-2"/>
        </w:rPr>
        <w:t> </w:t>
      </w:r>
      <w:r>
        <w:rPr/>
        <w:t>and</w:t>
      </w:r>
      <w:r>
        <w:rPr>
          <w:spacing w:val="-2"/>
        </w:rPr>
        <w:t> </w:t>
      </w:r>
      <w:r>
        <w:rPr/>
        <w:t>6</w:t>
      </w:r>
      <w:r>
        <w:rPr>
          <w:spacing w:val="-2"/>
        </w:rPr>
        <w:t> </w:t>
      </w:r>
      <w:r>
        <w:rPr/>
        <w:t>years</w:t>
      </w:r>
      <w:r>
        <w:rPr>
          <w:spacing w:val="-2"/>
        </w:rPr>
        <w:t> </w:t>
      </w:r>
      <w:r>
        <w:rPr/>
        <w:t>(</w:t>
      </w:r>
      <w:hyperlink w:history="true" w:anchor="_bookmark4">
        <w:r>
          <w:rPr>
            <w:color w:val="0000FF"/>
            <w:u w:val="single" w:color="0000FF"/>
          </w:rPr>
          <w:t>Figure</w:t>
        </w:r>
        <w:r>
          <w:rPr>
            <w:color w:val="0000FF"/>
            <w:spacing w:val="-3"/>
            <w:u w:val="single" w:color="0000FF"/>
          </w:rPr>
          <w:t> </w:t>
        </w:r>
        <w:r>
          <w:rPr>
            <w:color w:val="0000FF"/>
            <w:u w:val="single" w:color="0000FF"/>
          </w:rPr>
          <w:t>3</w:t>
        </w:r>
      </w:hyperlink>
      <w:r>
        <w:rPr/>
        <w:t>).</w:t>
      </w:r>
      <w:r>
        <w:rPr>
          <w:spacing w:val="-2"/>
        </w:rPr>
        <w:t> </w:t>
      </w:r>
      <w:r>
        <w:rPr/>
        <w:t>Thus,</w:t>
      </w:r>
      <w:r>
        <w:rPr>
          <w:spacing w:val="-2"/>
        </w:rPr>
        <w:t> </w:t>
      </w:r>
      <w:r>
        <w:rPr/>
        <w:t>there</w:t>
      </w:r>
      <w:r>
        <w:rPr>
          <w:spacing w:val="-2"/>
        </w:rPr>
        <w:t> </w:t>
      </w:r>
      <w:r>
        <w:rPr/>
        <w:t>is</w:t>
      </w:r>
      <w:r>
        <w:rPr>
          <w:spacing w:val="-2"/>
        </w:rPr>
        <w:t> </w:t>
      </w:r>
      <w:r>
        <w:rPr/>
        <w:t>empirical</w:t>
      </w:r>
      <w:r>
        <w:rPr>
          <w:spacing w:val="-2"/>
        </w:rPr>
        <w:t> </w:t>
      </w:r>
      <w:r>
        <w:rPr/>
        <w:t>support for the existence of some autocorrelation in the striped marlin recruitment time series after correcting for maternal effects in the estimated stock-recruitment curve. Here the observed autocorrelations likely represent the combined effects of environmental drivers on recruitment strength and provide empirical support for the short-term recruitment scenario as the most likely recruitment scenario.</w:t>
      </w:r>
    </w:p>
    <w:p>
      <w:pPr>
        <w:spacing w:after="0"/>
        <w:sectPr>
          <w:pgSz w:w="12240" w:h="15840"/>
          <w:pgMar w:header="0" w:footer="984" w:top="1360" w:bottom="1180" w:left="1320" w:right="600"/>
        </w:sectPr>
      </w:pPr>
    </w:p>
    <w:p>
      <w:pPr>
        <w:pStyle w:val="Heading1"/>
      </w:pPr>
      <w:bookmarkStart w:name="Literature Cited" w:id="6"/>
      <w:bookmarkEnd w:id="6"/>
      <w:r>
        <w:rPr>
          <w:b w:val="0"/>
        </w:rPr>
      </w:r>
      <w:r>
        <w:rPr/>
        <w:t>Literature</w:t>
      </w:r>
      <w:r>
        <w:rPr>
          <w:spacing w:val="-4"/>
        </w:rPr>
        <w:t> </w:t>
      </w:r>
      <w:r>
        <w:rPr>
          <w:spacing w:val="-2"/>
        </w:rPr>
        <w:t>Cited</w:t>
      </w:r>
    </w:p>
    <w:p>
      <w:pPr>
        <w:pStyle w:val="BodyText"/>
        <w:spacing w:before="7"/>
        <w:rPr>
          <w:b/>
          <w:sz w:val="20"/>
        </w:rPr>
      </w:pPr>
    </w:p>
    <w:p>
      <w:pPr>
        <w:pStyle w:val="BodyText"/>
        <w:spacing w:before="1"/>
        <w:ind w:left="120" w:right="1627"/>
      </w:pPr>
      <w:r>
        <w:rPr/>
        <w:t>Bates</w:t>
      </w:r>
      <w:r>
        <w:rPr>
          <w:spacing w:val="-4"/>
        </w:rPr>
        <w:t> </w:t>
      </w:r>
      <w:r>
        <w:rPr/>
        <w:t>J,</w:t>
      </w:r>
      <w:r>
        <w:rPr>
          <w:spacing w:val="-4"/>
        </w:rPr>
        <w:t> </w:t>
      </w:r>
      <w:r>
        <w:rPr/>
        <w:t>Granger</w:t>
      </w:r>
      <w:r>
        <w:rPr>
          <w:spacing w:val="-4"/>
        </w:rPr>
        <w:t> </w:t>
      </w:r>
      <w:r>
        <w:rPr/>
        <w:t>C.</w:t>
      </w:r>
      <w:r>
        <w:rPr>
          <w:spacing w:val="-4"/>
        </w:rPr>
        <w:t> </w:t>
      </w:r>
      <w:r>
        <w:rPr/>
        <w:t>1969.</w:t>
      </w:r>
      <w:r>
        <w:rPr>
          <w:spacing w:val="-4"/>
        </w:rPr>
        <w:t> </w:t>
      </w:r>
      <w:r>
        <w:rPr/>
        <w:t>The</w:t>
      </w:r>
      <w:r>
        <w:rPr>
          <w:spacing w:val="-4"/>
        </w:rPr>
        <w:t> </w:t>
      </w:r>
      <w:r>
        <w:rPr/>
        <w:t>combination</w:t>
      </w:r>
      <w:r>
        <w:rPr>
          <w:spacing w:val="-4"/>
        </w:rPr>
        <w:t> </w:t>
      </w:r>
      <w:r>
        <w:rPr/>
        <w:t>of</w:t>
      </w:r>
      <w:r>
        <w:rPr>
          <w:spacing w:val="-5"/>
        </w:rPr>
        <w:t> </w:t>
      </w:r>
      <w:r>
        <w:rPr/>
        <w:t>forecasts.</w:t>
      </w:r>
      <w:r>
        <w:rPr>
          <w:spacing w:val="-4"/>
        </w:rPr>
        <w:t> </w:t>
      </w:r>
      <w:r>
        <w:rPr/>
        <w:t>Operational</w:t>
      </w:r>
      <w:r>
        <w:rPr>
          <w:spacing w:val="-4"/>
        </w:rPr>
        <w:t> </w:t>
      </w:r>
      <w:r>
        <w:rPr/>
        <w:t>Research</w:t>
      </w:r>
      <w:r>
        <w:rPr>
          <w:spacing w:val="-4"/>
        </w:rPr>
        <w:t> </w:t>
      </w:r>
      <w:r>
        <w:rPr/>
        <w:t>Quarterly, </w:t>
      </w:r>
      <w:r>
        <w:rPr>
          <w:spacing w:val="-2"/>
        </w:rPr>
        <w:t>20:451-468.</w:t>
      </w:r>
    </w:p>
    <w:p>
      <w:pPr>
        <w:pStyle w:val="BodyText"/>
        <w:spacing w:before="10"/>
        <w:rPr>
          <w:sz w:val="20"/>
        </w:rPr>
      </w:pPr>
    </w:p>
    <w:p>
      <w:pPr>
        <w:pStyle w:val="BodyText"/>
        <w:ind w:left="120"/>
      </w:pPr>
      <w:r>
        <w:rPr/>
        <w:t>Huber</w:t>
      </w:r>
      <w:r>
        <w:rPr>
          <w:spacing w:val="-1"/>
        </w:rPr>
        <w:t> </w:t>
      </w:r>
      <w:r>
        <w:rPr/>
        <w:t>P.</w:t>
      </w:r>
      <w:r>
        <w:rPr>
          <w:spacing w:val="-1"/>
        </w:rPr>
        <w:t> </w:t>
      </w:r>
      <w:r>
        <w:rPr/>
        <w:t>1981.</w:t>
      </w:r>
      <w:r>
        <w:rPr>
          <w:spacing w:val="-1"/>
        </w:rPr>
        <w:t> </w:t>
      </w:r>
      <w:r>
        <w:rPr/>
        <w:t>Robust</w:t>
      </w:r>
      <w:r>
        <w:rPr>
          <w:spacing w:val="-2"/>
        </w:rPr>
        <w:t> </w:t>
      </w:r>
      <w:r>
        <w:rPr/>
        <w:t>statistics.</w:t>
      </w:r>
      <w:r>
        <w:rPr>
          <w:spacing w:val="-1"/>
        </w:rPr>
        <w:t> </w:t>
      </w:r>
      <w:r>
        <w:rPr/>
        <w:t>Wiley</w:t>
      </w:r>
      <w:r>
        <w:rPr>
          <w:spacing w:val="-1"/>
        </w:rPr>
        <w:t> </w:t>
      </w:r>
      <w:r>
        <w:rPr/>
        <w:t>&amp;</w:t>
      </w:r>
      <w:r>
        <w:rPr>
          <w:spacing w:val="-1"/>
        </w:rPr>
        <w:t> </w:t>
      </w:r>
      <w:r>
        <w:rPr/>
        <w:t>Sons,</w:t>
      </w:r>
      <w:r>
        <w:rPr>
          <w:spacing w:val="-2"/>
        </w:rPr>
        <w:t> </w:t>
      </w:r>
      <w:r>
        <w:rPr/>
        <w:t>New</w:t>
      </w:r>
      <w:r>
        <w:rPr>
          <w:spacing w:val="-2"/>
        </w:rPr>
        <w:t> </w:t>
      </w:r>
      <w:r>
        <w:rPr/>
        <w:t>York, 308</w:t>
      </w:r>
      <w:r>
        <w:rPr>
          <w:spacing w:val="-1"/>
        </w:rPr>
        <w:t> </w:t>
      </w:r>
      <w:r>
        <w:rPr>
          <w:spacing w:val="-5"/>
        </w:rPr>
        <w:t>p.</w:t>
      </w:r>
    </w:p>
    <w:p>
      <w:pPr>
        <w:pStyle w:val="BodyText"/>
        <w:spacing w:before="10"/>
        <w:rPr>
          <w:sz w:val="20"/>
        </w:rPr>
      </w:pPr>
    </w:p>
    <w:p>
      <w:pPr>
        <w:pStyle w:val="BodyText"/>
        <w:ind w:left="120" w:right="875"/>
      </w:pPr>
      <w:r>
        <w:rPr/>
        <w:t>International</w:t>
      </w:r>
      <w:r>
        <w:rPr>
          <w:spacing w:val="-4"/>
        </w:rPr>
        <w:t> </w:t>
      </w:r>
      <w:r>
        <w:rPr/>
        <w:t>Scientific</w:t>
      </w:r>
      <w:r>
        <w:rPr>
          <w:spacing w:val="-3"/>
        </w:rPr>
        <w:t> </w:t>
      </w:r>
      <w:r>
        <w:rPr/>
        <w:t>Committee</w:t>
      </w:r>
      <w:r>
        <w:rPr>
          <w:spacing w:val="-3"/>
        </w:rPr>
        <w:t> </w:t>
      </w:r>
      <w:r>
        <w:rPr/>
        <w:t>for</w:t>
      </w:r>
      <w:r>
        <w:rPr>
          <w:spacing w:val="-3"/>
        </w:rPr>
        <w:t> </w:t>
      </w:r>
      <w:r>
        <w:rPr/>
        <w:t>Tuna</w:t>
      </w:r>
      <w:r>
        <w:rPr>
          <w:spacing w:val="-3"/>
        </w:rPr>
        <w:t> </w:t>
      </w:r>
      <w:r>
        <w:rPr/>
        <w:t>and</w:t>
      </w:r>
      <w:r>
        <w:rPr>
          <w:spacing w:val="-5"/>
        </w:rPr>
        <w:t> </w:t>
      </w:r>
      <w:r>
        <w:rPr/>
        <w:t>Tuna-Like</w:t>
      </w:r>
      <w:r>
        <w:rPr>
          <w:spacing w:val="-3"/>
        </w:rPr>
        <w:t> </w:t>
      </w:r>
      <w:r>
        <w:rPr/>
        <w:t>Species</w:t>
      </w:r>
      <w:r>
        <w:rPr>
          <w:spacing w:val="-4"/>
        </w:rPr>
        <w:t> </w:t>
      </w:r>
      <w:r>
        <w:rPr/>
        <w:t>in</w:t>
      </w:r>
      <w:r>
        <w:rPr>
          <w:spacing w:val="-3"/>
        </w:rPr>
        <w:t> </w:t>
      </w:r>
      <w:r>
        <w:rPr/>
        <w:t>the</w:t>
      </w:r>
      <w:r>
        <w:rPr>
          <w:spacing w:val="-4"/>
        </w:rPr>
        <w:t> </w:t>
      </w:r>
      <w:r>
        <w:rPr/>
        <w:t>North</w:t>
      </w:r>
      <w:r>
        <w:rPr>
          <w:spacing w:val="-3"/>
        </w:rPr>
        <w:t> </w:t>
      </w:r>
      <w:r>
        <w:rPr/>
        <w:t>Pacific</w:t>
      </w:r>
      <w:r>
        <w:rPr>
          <w:spacing w:val="-3"/>
        </w:rPr>
        <w:t> </w:t>
      </w:r>
      <w:r>
        <w:rPr/>
        <w:t>Ocean. [ISC]. 2019. Stock Assessment for Striped Marlin (</w:t>
      </w:r>
      <w:r>
        <w:rPr>
          <w:i/>
        </w:rPr>
        <w:t>Kajikia audax</w:t>
      </w:r>
      <w:r>
        <w:rPr/>
        <w:t>) in the Western</w:t>
      </w:r>
    </w:p>
    <w:p>
      <w:pPr>
        <w:pStyle w:val="BodyText"/>
        <w:ind w:left="120"/>
      </w:pPr>
      <w:r>
        <w:rPr/>
        <w:t>and</w:t>
      </w:r>
      <w:r>
        <w:rPr>
          <w:spacing w:val="-2"/>
        </w:rPr>
        <w:t> </w:t>
      </w:r>
      <w:r>
        <w:rPr/>
        <w:t>Central</w:t>
      </w:r>
      <w:r>
        <w:rPr>
          <w:spacing w:val="-2"/>
        </w:rPr>
        <w:t> </w:t>
      </w:r>
      <w:r>
        <w:rPr/>
        <w:t>North</w:t>
      </w:r>
      <w:r>
        <w:rPr>
          <w:spacing w:val="-2"/>
        </w:rPr>
        <w:t> </w:t>
      </w:r>
      <w:r>
        <w:rPr/>
        <w:t>Pacific</w:t>
      </w:r>
      <w:r>
        <w:rPr>
          <w:spacing w:val="-1"/>
        </w:rPr>
        <w:t> </w:t>
      </w:r>
      <w:r>
        <w:rPr/>
        <w:t>Ocean</w:t>
      </w:r>
      <w:r>
        <w:rPr>
          <w:spacing w:val="-2"/>
        </w:rPr>
        <w:t> </w:t>
      </w:r>
      <w:r>
        <w:rPr/>
        <w:t>through</w:t>
      </w:r>
      <w:r>
        <w:rPr>
          <w:spacing w:val="-1"/>
        </w:rPr>
        <w:t> </w:t>
      </w:r>
      <w:r>
        <w:rPr/>
        <w:t>2017.</w:t>
      </w:r>
      <w:r>
        <w:rPr>
          <w:spacing w:val="-2"/>
        </w:rPr>
        <w:t> </w:t>
      </w:r>
      <w:r>
        <w:rPr/>
        <w:t>Annex</w:t>
      </w:r>
      <w:r>
        <w:rPr>
          <w:spacing w:val="-1"/>
        </w:rPr>
        <w:t> </w:t>
      </w:r>
      <w:r>
        <w:rPr/>
        <w:t>11,</w:t>
      </w:r>
      <w:r>
        <w:rPr>
          <w:spacing w:val="-2"/>
        </w:rPr>
        <w:t> </w:t>
      </w:r>
      <w:r>
        <w:rPr/>
        <w:t>ISC/19/ANNEX/11,</w:t>
      </w:r>
      <w:r>
        <w:rPr>
          <w:spacing w:val="-1"/>
        </w:rPr>
        <w:t> </w:t>
      </w:r>
      <w:r>
        <w:rPr/>
        <w:t>91</w:t>
      </w:r>
      <w:r>
        <w:rPr>
          <w:spacing w:val="-1"/>
        </w:rPr>
        <w:t> </w:t>
      </w:r>
      <w:r>
        <w:rPr>
          <w:spacing w:val="-5"/>
        </w:rPr>
        <w:t>p.</w:t>
      </w:r>
    </w:p>
    <w:p>
      <w:pPr>
        <w:pStyle w:val="BodyText"/>
        <w:spacing w:before="10"/>
        <w:rPr>
          <w:sz w:val="20"/>
        </w:rPr>
      </w:pPr>
    </w:p>
    <w:p>
      <w:pPr>
        <w:pStyle w:val="BodyText"/>
        <w:ind w:left="120" w:right="893"/>
      </w:pPr>
      <w:r>
        <w:rPr/>
        <w:t>Methot</w:t>
      </w:r>
      <w:r>
        <w:rPr>
          <w:spacing w:val="-3"/>
        </w:rPr>
        <w:t> </w:t>
      </w:r>
      <w:r>
        <w:rPr/>
        <w:t>RD,</w:t>
      </w:r>
      <w:r>
        <w:rPr>
          <w:spacing w:val="-3"/>
        </w:rPr>
        <w:t> </w:t>
      </w:r>
      <w:r>
        <w:rPr/>
        <w:t>Wetzel</w:t>
      </w:r>
      <w:r>
        <w:rPr>
          <w:spacing w:val="-3"/>
        </w:rPr>
        <w:t> </w:t>
      </w:r>
      <w:r>
        <w:rPr/>
        <w:t>C.</w:t>
      </w:r>
      <w:r>
        <w:rPr>
          <w:spacing w:val="-3"/>
        </w:rPr>
        <w:t> </w:t>
      </w:r>
      <w:r>
        <w:rPr/>
        <w:t>2013.</w:t>
      </w:r>
      <w:r>
        <w:rPr>
          <w:spacing w:val="-3"/>
        </w:rPr>
        <w:t> </w:t>
      </w:r>
      <w:r>
        <w:rPr/>
        <w:t>Stock</w:t>
      </w:r>
      <w:r>
        <w:rPr>
          <w:spacing w:val="-3"/>
        </w:rPr>
        <w:t> </w:t>
      </w:r>
      <w:r>
        <w:rPr/>
        <w:t>synthesis:</w:t>
      </w:r>
      <w:r>
        <w:rPr>
          <w:spacing w:val="-3"/>
        </w:rPr>
        <w:t> </w:t>
      </w:r>
      <w:r>
        <w:rPr/>
        <w:t>A</w:t>
      </w:r>
      <w:r>
        <w:rPr>
          <w:spacing w:val="-4"/>
        </w:rPr>
        <w:t> </w:t>
      </w:r>
      <w:r>
        <w:rPr/>
        <w:t>biological</w:t>
      </w:r>
      <w:r>
        <w:rPr>
          <w:spacing w:val="-3"/>
        </w:rPr>
        <w:t> </w:t>
      </w:r>
      <w:r>
        <w:rPr/>
        <w:t>and</w:t>
      </w:r>
      <w:r>
        <w:rPr>
          <w:spacing w:val="-3"/>
        </w:rPr>
        <w:t> </w:t>
      </w:r>
      <w:r>
        <w:rPr/>
        <w:t>statistical</w:t>
      </w:r>
      <w:r>
        <w:rPr>
          <w:spacing w:val="-4"/>
        </w:rPr>
        <w:t> </w:t>
      </w:r>
      <w:r>
        <w:rPr/>
        <w:t>framework</w:t>
      </w:r>
      <w:r>
        <w:rPr>
          <w:spacing w:val="-3"/>
        </w:rPr>
        <w:t> </w:t>
      </w:r>
      <w:r>
        <w:rPr/>
        <w:t>for</w:t>
      </w:r>
      <w:r>
        <w:rPr>
          <w:spacing w:val="-3"/>
        </w:rPr>
        <w:t> </w:t>
      </w:r>
      <w:r>
        <w:rPr/>
        <w:t>fish stock assessment and fishery management. Fisheries Research, 142:86-99.</w:t>
      </w:r>
    </w:p>
    <w:p>
      <w:pPr>
        <w:pStyle w:val="BodyText"/>
        <w:spacing w:before="10"/>
        <w:rPr>
          <w:sz w:val="20"/>
        </w:rPr>
      </w:pPr>
    </w:p>
    <w:p>
      <w:pPr>
        <w:pStyle w:val="BodyText"/>
        <w:ind w:left="120" w:right="875"/>
      </w:pPr>
      <w:r>
        <w:rPr/>
        <w:t>Ono K, Licandeo R, Muradian M, Cunningham C, Anderson S, Hurtado-Ferro F, Johnson K, McGilliard</w:t>
      </w:r>
      <w:r>
        <w:rPr>
          <w:spacing w:val="-5"/>
        </w:rPr>
        <w:t> </w:t>
      </w:r>
      <w:r>
        <w:rPr/>
        <w:t>C,</w:t>
      </w:r>
      <w:r>
        <w:rPr>
          <w:spacing w:val="-3"/>
        </w:rPr>
        <w:t> </w:t>
      </w:r>
      <w:r>
        <w:rPr/>
        <w:t>Monnahan</w:t>
      </w:r>
      <w:r>
        <w:rPr>
          <w:spacing w:val="-3"/>
        </w:rPr>
        <w:t> </w:t>
      </w:r>
      <w:r>
        <w:rPr/>
        <w:t>C,</w:t>
      </w:r>
      <w:r>
        <w:rPr>
          <w:spacing w:val="-3"/>
        </w:rPr>
        <w:t> </w:t>
      </w:r>
      <w:r>
        <w:rPr/>
        <w:t>Szuwalski</w:t>
      </w:r>
      <w:r>
        <w:rPr>
          <w:spacing w:val="-3"/>
        </w:rPr>
        <w:t> </w:t>
      </w:r>
      <w:r>
        <w:rPr/>
        <w:t>C,</w:t>
      </w:r>
      <w:r>
        <w:rPr>
          <w:spacing w:val="-3"/>
        </w:rPr>
        <w:t> </w:t>
      </w:r>
      <w:r>
        <w:rPr/>
        <w:t>Valero</w:t>
      </w:r>
      <w:r>
        <w:rPr>
          <w:spacing w:val="-3"/>
        </w:rPr>
        <w:t> </w:t>
      </w:r>
      <w:r>
        <w:rPr/>
        <w:t>J,</w:t>
      </w:r>
      <w:r>
        <w:rPr>
          <w:spacing w:val="-3"/>
        </w:rPr>
        <w:t> </w:t>
      </w:r>
      <w:r>
        <w:rPr/>
        <w:t>Vert-Pre</w:t>
      </w:r>
      <w:r>
        <w:rPr>
          <w:spacing w:val="-4"/>
        </w:rPr>
        <w:t> </w:t>
      </w:r>
      <w:r>
        <w:rPr/>
        <w:t>K,</w:t>
      </w:r>
      <w:r>
        <w:rPr>
          <w:spacing w:val="-2"/>
        </w:rPr>
        <w:t> </w:t>
      </w:r>
      <w:r>
        <w:rPr/>
        <w:t>Whitten</w:t>
      </w:r>
      <w:r>
        <w:rPr>
          <w:spacing w:val="-3"/>
        </w:rPr>
        <w:t> </w:t>
      </w:r>
      <w:r>
        <w:rPr/>
        <w:t>A,</w:t>
      </w:r>
      <w:r>
        <w:rPr>
          <w:spacing w:val="-3"/>
        </w:rPr>
        <w:t> </w:t>
      </w:r>
      <w:r>
        <w:rPr/>
        <w:t>Punt</w:t>
      </w:r>
      <w:r>
        <w:rPr>
          <w:spacing w:val="-3"/>
        </w:rPr>
        <w:t> </w:t>
      </w:r>
      <w:r>
        <w:rPr/>
        <w:t>A.</w:t>
      </w:r>
      <w:r>
        <w:rPr>
          <w:spacing w:val="-3"/>
        </w:rPr>
        <w:t> </w:t>
      </w:r>
      <w:r>
        <w:rPr/>
        <w:t>2014.</w:t>
      </w:r>
      <w:r>
        <w:rPr>
          <w:spacing w:val="-3"/>
        </w:rPr>
        <w:t> </w:t>
      </w:r>
      <w:r>
        <w:rPr/>
        <w:t>The importance of length and age composition data in statistical age-structured models for marine species. ICES Journal of Marine Science, 72:31-43.</w:t>
      </w:r>
    </w:p>
    <w:p>
      <w:pPr>
        <w:pStyle w:val="BodyText"/>
        <w:spacing w:before="10"/>
        <w:rPr>
          <w:sz w:val="20"/>
        </w:rPr>
      </w:pPr>
    </w:p>
    <w:p>
      <w:pPr>
        <w:pStyle w:val="BodyText"/>
        <w:ind w:left="120" w:right="875"/>
      </w:pPr>
      <w:r>
        <w:rPr/>
        <w:t>Thorson</w:t>
      </w:r>
      <w:r>
        <w:rPr>
          <w:spacing w:val="-3"/>
        </w:rPr>
        <w:t> </w:t>
      </w:r>
      <w:r>
        <w:rPr/>
        <w:t>J,</w:t>
      </w:r>
      <w:r>
        <w:rPr>
          <w:spacing w:val="-3"/>
        </w:rPr>
        <w:t> </w:t>
      </w:r>
      <w:r>
        <w:rPr/>
        <w:t>Jensen</w:t>
      </w:r>
      <w:r>
        <w:rPr>
          <w:spacing w:val="-3"/>
        </w:rPr>
        <w:t> </w:t>
      </w:r>
      <w:r>
        <w:rPr/>
        <w:t>O,</w:t>
      </w:r>
      <w:r>
        <w:rPr>
          <w:spacing w:val="-3"/>
        </w:rPr>
        <w:t> </w:t>
      </w:r>
      <w:r>
        <w:rPr/>
        <w:t>Zipkin</w:t>
      </w:r>
      <w:r>
        <w:rPr>
          <w:spacing w:val="-3"/>
        </w:rPr>
        <w:t> </w:t>
      </w:r>
      <w:r>
        <w:rPr/>
        <w:t>E.</w:t>
      </w:r>
      <w:r>
        <w:rPr>
          <w:spacing w:val="-3"/>
        </w:rPr>
        <w:t> </w:t>
      </w:r>
      <w:r>
        <w:rPr/>
        <w:t>2014.</w:t>
      </w:r>
      <w:r>
        <w:rPr>
          <w:spacing w:val="-3"/>
        </w:rPr>
        <w:t> </w:t>
      </w:r>
      <w:r>
        <w:rPr/>
        <w:t>How</w:t>
      </w:r>
      <w:r>
        <w:rPr>
          <w:spacing w:val="-4"/>
        </w:rPr>
        <w:t> </w:t>
      </w:r>
      <w:r>
        <w:rPr/>
        <w:t>variable</w:t>
      </w:r>
      <w:r>
        <w:rPr>
          <w:spacing w:val="-3"/>
        </w:rPr>
        <w:t> </w:t>
      </w:r>
      <w:r>
        <w:rPr/>
        <w:t>is</w:t>
      </w:r>
      <w:r>
        <w:rPr>
          <w:spacing w:val="-3"/>
        </w:rPr>
        <w:t> </w:t>
      </w:r>
      <w:r>
        <w:rPr/>
        <w:t>recruitment</w:t>
      </w:r>
      <w:r>
        <w:rPr>
          <w:spacing w:val="-3"/>
        </w:rPr>
        <w:t> </w:t>
      </w:r>
      <w:r>
        <w:rPr/>
        <w:t>for</w:t>
      </w:r>
      <w:r>
        <w:rPr>
          <w:spacing w:val="-3"/>
        </w:rPr>
        <w:t> </w:t>
      </w:r>
      <w:r>
        <w:rPr/>
        <w:t>exploited</w:t>
      </w:r>
      <w:r>
        <w:rPr>
          <w:spacing w:val="-3"/>
        </w:rPr>
        <w:t> </w:t>
      </w:r>
      <w:r>
        <w:rPr/>
        <w:t>marine</w:t>
      </w:r>
      <w:r>
        <w:rPr>
          <w:spacing w:val="-3"/>
        </w:rPr>
        <w:t> </w:t>
      </w:r>
      <w:r>
        <w:rPr/>
        <w:t>fishes?</w:t>
      </w:r>
      <w:r>
        <w:rPr>
          <w:spacing w:val="-3"/>
        </w:rPr>
        <w:t> </w:t>
      </w:r>
      <w:r>
        <w:rPr/>
        <w:t>A hierarchical model for testing life history theory. Canadian Journal of Fisheries and Aquatic Sciences, 71:973-983.</w:t>
      </w:r>
    </w:p>
    <w:p>
      <w:pPr>
        <w:pStyle w:val="BodyText"/>
        <w:spacing w:before="10"/>
        <w:rPr>
          <w:sz w:val="20"/>
        </w:rPr>
      </w:pPr>
    </w:p>
    <w:p>
      <w:pPr>
        <w:pStyle w:val="BodyText"/>
        <w:ind w:left="120"/>
      </w:pPr>
      <w:r>
        <w:rPr/>
        <w:t>Wood</w:t>
      </w:r>
      <w:r>
        <w:rPr>
          <w:spacing w:val="-1"/>
        </w:rPr>
        <w:t> </w:t>
      </w:r>
      <w:r>
        <w:rPr/>
        <w:t>S.</w:t>
      </w:r>
      <w:r>
        <w:rPr>
          <w:spacing w:val="-1"/>
        </w:rPr>
        <w:t> </w:t>
      </w:r>
      <w:r>
        <w:rPr/>
        <w:t>2006.</w:t>
      </w:r>
      <w:r>
        <w:rPr>
          <w:spacing w:val="-1"/>
        </w:rPr>
        <w:t> </w:t>
      </w:r>
      <w:r>
        <w:rPr/>
        <w:t>Generalized</w:t>
      </w:r>
      <w:r>
        <w:rPr>
          <w:spacing w:val="-1"/>
        </w:rPr>
        <w:t> </w:t>
      </w:r>
      <w:r>
        <w:rPr/>
        <w:t>additive</w:t>
      </w:r>
      <w:r>
        <w:rPr>
          <w:spacing w:val="-2"/>
        </w:rPr>
        <w:t> </w:t>
      </w:r>
      <w:r>
        <w:rPr/>
        <w:t>models.</w:t>
      </w:r>
      <w:r>
        <w:rPr>
          <w:spacing w:val="-1"/>
        </w:rPr>
        <w:t> </w:t>
      </w:r>
      <w:r>
        <w:rPr/>
        <w:t>Chapman</w:t>
      </w:r>
      <w:r>
        <w:rPr>
          <w:spacing w:val="-1"/>
        </w:rPr>
        <w:t> </w:t>
      </w:r>
      <w:r>
        <w:rPr/>
        <w:t>&amp;</w:t>
      </w:r>
      <w:r>
        <w:rPr>
          <w:spacing w:val="-1"/>
        </w:rPr>
        <w:t> </w:t>
      </w:r>
      <w:r>
        <w:rPr/>
        <w:t>Hall,</w:t>
      </w:r>
      <w:r>
        <w:rPr>
          <w:spacing w:val="-1"/>
        </w:rPr>
        <w:t> </w:t>
      </w:r>
      <w:r>
        <w:rPr/>
        <w:t>New</w:t>
      </w:r>
      <w:r>
        <w:rPr>
          <w:spacing w:val="-2"/>
        </w:rPr>
        <w:t> </w:t>
      </w:r>
      <w:r>
        <w:rPr/>
        <w:t>York,</w:t>
      </w:r>
      <w:r>
        <w:rPr>
          <w:spacing w:val="-1"/>
        </w:rPr>
        <w:t> </w:t>
      </w:r>
      <w:r>
        <w:rPr/>
        <w:t>392 </w:t>
      </w:r>
      <w:r>
        <w:rPr>
          <w:spacing w:val="-5"/>
        </w:rPr>
        <w:t>p.</w:t>
      </w:r>
    </w:p>
    <w:p>
      <w:pPr>
        <w:spacing w:after="0"/>
        <w:sectPr>
          <w:pgSz w:w="12240" w:h="15840"/>
          <w:pgMar w:header="0" w:footer="984" w:top="1380" w:bottom="1180" w:left="1320" w:right="600"/>
        </w:sectPr>
      </w:pPr>
    </w:p>
    <w:p>
      <w:pPr>
        <w:pStyle w:val="BodyText"/>
        <w:spacing w:before="78"/>
        <w:ind w:left="120" w:right="852"/>
      </w:pPr>
      <w:bookmarkStart w:name="_bookmark1" w:id="7"/>
      <w:bookmarkEnd w:id="7"/>
      <w:r>
        <w:rPr/>
      </w:r>
      <w:r>
        <w:rPr/>
        <w:t>Table 1. Squared recruitment prediction errors in 2017 and 2018 based on the short-term and long-term recruitment models along with combined 2017–2018 weighted recruitment prediction errors,</w:t>
      </w:r>
      <w:r>
        <w:rPr>
          <w:spacing w:val="-4"/>
        </w:rPr>
        <w:t> </w:t>
      </w:r>
      <w:r>
        <w:rPr/>
        <w:t>associated</w:t>
      </w:r>
      <w:r>
        <w:rPr>
          <w:spacing w:val="-3"/>
        </w:rPr>
        <w:t> </w:t>
      </w:r>
      <w:r>
        <w:rPr/>
        <w:t>model</w:t>
      </w:r>
      <w:r>
        <w:rPr>
          <w:spacing w:val="-3"/>
        </w:rPr>
        <w:t> </w:t>
      </w:r>
      <w:r>
        <w:rPr/>
        <w:t>weights,</w:t>
      </w:r>
      <w:r>
        <w:rPr>
          <w:spacing w:val="-3"/>
        </w:rPr>
        <w:t> </w:t>
      </w:r>
      <w:r>
        <w:rPr/>
        <w:t>and</w:t>
      </w:r>
      <w:r>
        <w:rPr>
          <w:spacing w:val="-5"/>
        </w:rPr>
        <w:t> </w:t>
      </w:r>
      <w:r>
        <w:rPr/>
        <w:t>relative</w:t>
      </w:r>
      <w:r>
        <w:rPr>
          <w:spacing w:val="-3"/>
        </w:rPr>
        <w:t> </w:t>
      </w:r>
      <w:r>
        <w:rPr/>
        <w:t>odds</w:t>
      </w:r>
      <w:r>
        <w:rPr>
          <w:spacing w:val="-3"/>
        </w:rPr>
        <w:t> </w:t>
      </w:r>
      <w:r>
        <w:rPr/>
        <w:t>ratios</w:t>
      </w:r>
      <w:r>
        <w:rPr>
          <w:spacing w:val="-3"/>
        </w:rPr>
        <w:t> </w:t>
      </w:r>
      <w:r>
        <w:rPr/>
        <w:t>by</w:t>
      </w:r>
      <w:r>
        <w:rPr>
          <w:spacing w:val="-5"/>
        </w:rPr>
        <w:t> </w:t>
      </w:r>
      <w:r>
        <w:rPr/>
        <w:t>model</w:t>
      </w:r>
      <w:r>
        <w:rPr>
          <w:spacing w:val="-3"/>
        </w:rPr>
        <w:t> </w:t>
      </w:r>
      <w:r>
        <w:rPr/>
        <w:t>based</w:t>
      </w:r>
      <w:r>
        <w:rPr>
          <w:spacing w:val="-5"/>
        </w:rPr>
        <w:t> </w:t>
      </w:r>
      <w:r>
        <w:rPr/>
        <w:t>on</w:t>
      </w:r>
      <w:r>
        <w:rPr>
          <w:spacing w:val="-3"/>
        </w:rPr>
        <w:t> </w:t>
      </w:r>
      <w:r>
        <w:rPr/>
        <w:t>predictive</w:t>
      </w:r>
      <w:r>
        <w:rPr>
          <w:spacing w:val="-3"/>
        </w:rPr>
        <w:t> </w:t>
      </w:r>
      <w:r>
        <w:rPr/>
        <w:t>accuracy.</w:t>
      </w:r>
    </w:p>
    <w:p>
      <w:pPr>
        <w:pStyle w:val="BodyText"/>
        <w:spacing w:before="6"/>
        <w:rPr>
          <w:sz w:val="17"/>
        </w:rPr>
      </w:pPr>
    </w:p>
    <w:tbl>
      <w:tblPr>
        <w:tblW w:w="0" w:type="auto"/>
        <w:jc w:val="left"/>
        <w:tblInd w:w="129" w:type="dxa"/>
        <w:tblBorders>
          <w:top w:val="single" w:sz="4" w:space="0" w:color="D5D5D5"/>
          <w:left w:val="single" w:sz="4" w:space="0" w:color="D5D5D5"/>
          <w:bottom w:val="single" w:sz="4" w:space="0" w:color="D5D5D5"/>
          <w:right w:val="single" w:sz="4" w:space="0" w:color="D5D5D5"/>
          <w:insideH w:val="single" w:sz="4" w:space="0" w:color="D5D5D5"/>
          <w:insideV w:val="single" w:sz="4" w:space="0" w:color="D5D5D5"/>
        </w:tblBorders>
        <w:tblLayout w:type="fixed"/>
        <w:tblCellMar>
          <w:top w:w="0" w:type="dxa"/>
          <w:left w:w="0" w:type="dxa"/>
          <w:bottom w:w="0" w:type="dxa"/>
          <w:right w:w="0" w:type="dxa"/>
        </w:tblCellMar>
        <w:tblLook w:val="01E0"/>
      </w:tblPr>
      <w:tblGrid>
        <w:gridCol w:w="1682"/>
        <w:gridCol w:w="938"/>
        <w:gridCol w:w="953"/>
        <w:gridCol w:w="1288"/>
        <w:gridCol w:w="1273"/>
        <w:gridCol w:w="931"/>
        <w:gridCol w:w="1028"/>
        <w:gridCol w:w="1043"/>
        <w:gridCol w:w="946"/>
      </w:tblGrid>
      <w:tr>
        <w:trPr>
          <w:trHeight w:val="1349" w:hRule="atLeast"/>
        </w:trPr>
        <w:tc>
          <w:tcPr>
            <w:tcW w:w="1682" w:type="dxa"/>
            <w:tcBorders>
              <w:bottom w:val="single" w:sz="8" w:space="0" w:color="000000"/>
            </w:tcBorders>
          </w:tcPr>
          <w:p>
            <w:pPr>
              <w:pStyle w:val="TableParagraph"/>
              <w:spacing w:line="240" w:lineRule="auto" w:before="0"/>
              <w:rPr>
                <w:rFonts w:ascii="Times New Roman"/>
                <w:sz w:val="16"/>
              </w:rPr>
            </w:pPr>
          </w:p>
          <w:p>
            <w:pPr>
              <w:pStyle w:val="TableParagraph"/>
              <w:spacing w:line="240" w:lineRule="auto" w:before="5"/>
              <w:rPr>
                <w:rFonts w:ascii="Times New Roman"/>
                <w:sz w:val="22"/>
              </w:rPr>
            </w:pPr>
          </w:p>
          <w:p>
            <w:pPr>
              <w:pStyle w:val="TableParagraph"/>
              <w:spacing w:line="220" w:lineRule="atLeast" w:before="0"/>
              <w:ind w:left="128" w:right="124" w:firstLine="1"/>
              <w:jc w:val="center"/>
              <w:rPr>
                <w:b/>
                <w:sz w:val="17"/>
              </w:rPr>
            </w:pPr>
            <w:r>
              <w:rPr>
                <w:b/>
                <w:sz w:val="17"/>
              </w:rPr>
              <w:t>Combined</w:t>
            </w:r>
            <w:r>
              <w:rPr>
                <w:b/>
                <w:spacing w:val="-2"/>
                <w:sz w:val="17"/>
              </w:rPr>
              <w:t> </w:t>
            </w:r>
            <w:r>
              <w:rPr>
                <w:b/>
                <w:sz w:val="17"/>
              </w:rPr>
              <w:t>Forecast</w:t>
            </w:r>
            <w:r>
              <w:rPr>
                <w:b/>
                <w:spacing w:val="40"/>
                <w:sz w:val="17"/>
              </w:rPr>
              <w:t> </w:t>
            </w:r>
            <w:r>
              <w:rPr>
                <w:b/>
                <w:spacing w:val="-2"/>
                <w:sz w:val="17"/>
              </w:rPr>
              <w:t>Weight</w:t>
            </w:r>
            <w:r>
              <w:rPr>
                <w:b/>
                <w:spacing w:val="-8"/>
                <w:sz w:val="17"/>
              </w:rPr>
              <w:t> </w:t>
            </w:r>
            <w:r>
              <w:rPr>
                <w:b/>
                <w:spacing w:val="-2"/>
                <w:sz w:val="17"/>
              </w:rPr>
              <w:t>for</w:t>
            </w:r>
            <w:r>
              <w:rPr>
                <w:b/>
                <w:spacing w:val="-8"/>
                <w:sz w:val="17"/>
              </w:rPr>
              <w:t> </w:t>
            </w:r>
            <w:r>
              <w:rPr>
                <w:b/>
                <w:spacing w:val="-2"/>
                <w:sz w:val="17"/>
              </w:rPr>
              <w:t>2017</w:t>
            </w:r>
            <w:r>
              <w:rPr>
                <w:b/>
                <w:spacing w:val="-7"/>
                <w:sz w:val="17"/>
              </w:rPr>
              <w:t> </w:t>
            </w:r>
            <w:r>
              <w:rPr>
                <w:b/>
                <w:spacing w:val="-2"/>
                <w:sz w:val="17"/>
              </w:rPr>
              <w:t>and</w:t>
            </w:r>
            <w:r>
              <w:rPr>
                <w:b/>
                <w:spacing w:val="40"/>
                <w:sz w:val="17"/>
              </w:rPr>
              <w:t> </w:t>
            </w:r>
            <w:r>
              <w:rPr>
                <w:b/>
                <w:spacing w:val="-4"/>
                <w:sz w:val="17"/>
              </w:rPr>
              <w:t>2018</w:t>
            </w:r>
            <w:r>
              <w:rPr>
                <w:b/>
                <w:spacing w:val="-6"/>
                <w:sz w:val="17"/>
              </w:rPr>
              <w:t> </w:t>
            </w:r>
            <w:r>
              <w:rPr>
                <w:b/>
                <w:spacing w:val="-4"/>
                <w:sz w:val="17"/>
              </w:rPr>
              <w:t>Recruitment</w:t>
            </w:r>
            <w:r>
              <w:rPr>
                <w:b/>
                <w:spacing w:val="-6"/>
                <w:sz w:val="17"/>
              </w:rPr>
              <w:t> </w:t>
            </w:r>
            <w:r>
              <w:rPr>
                <w:b/>
                <w:spacing w:val="-4"/>
                <w:sz w:val="17"/>
              </w:rPr>
              <w:t>by</w:t>
            </w:r>
            <w:r>
              <w:rPr>
                <w:b/>
                <w:spacing w:val="40"/>
                <w:sz w:val="17"/>
              </w:rPr>
              <w:t> </w:t>
            </w:r>
            <w:r>
              <w:rPr>
                <w:b/>
                <w:sz w:val="17"/>
              </w:rPr>
              <w:t>Point Prediction</w:t>
            </w:r>
          </w:p>
        </w:tc>
        <w:tc>
          <w:tcPr>
            <w:tcW w:w="938" w:type="dxa"/>
            <w:tcBorders>
              <w:bottom w:val="single" w:sz="8" w:space="0" w:color="000000"/>
            </w:tcBorders>
          </w:tcPr>
          <w:p>
            <w:pPr>
              <w:pStyle w:val="TableParagraph"/>
              <w:spacing w:line="240" w:lineRule="auto" w:before="0"/>
              <w:rPr>
                <w:rFonts w:ascii="Times New Roman"/>
                <w:sz w:val="16"/>
              </w:rPr>
            </w:pPr>
          </w:p>
          <w:p>
            <w:pPr>
              <w:pStyle w:val="TableParagraph"/>
              <w:spacing w:line="240" w:lineRule="auto" w:before="5"/>
              <w:rPr>
                <w:rFonts w:ascii="Times New Roman"/>
                <w:sz w:val="22"/>
              </w:rPr>
            </w:pPr>
          </w:p>
          <w:p>
            <w:pPr>
              <w:pStyle w:val="TableParagraph"/>
              <w:spacing w:line="220" w:lineRule="atLeast" w:before="0"/>
              <w:ind w:left="24" w:right="22" w:hanging="3"/>
              <w:jc w:val="center"/>
              <w:rPr>
                <w:b/>
                <w:sz w:val="17"/>
              </w:rPr>
            </w:pPr>
            <w:r>
              <w:rPr>
                <w:b/>
                <w:spacing w:val="-2"/>
                <w:sz w:val="17"/>
              </w:rPr>
              <w:t>Squared</w:t>
            </w:r>
            <w:r>
              <w:rPr>
                <w:b/>
                <w:spacing w:val="40"/>
                <w:sz w:val="17"/>
              </w:rPr>
              <w:t> </w:t>
            </w:r>
            <w:r>
              <w:rPr>
                <w:b/>
                <w:spacing w:val="-2"/>
                <w:sz w:val="17"/>
              </w:rPr>
              <w:t>Recruitment</w:t>
            </w:r>
            <w:r>
              <w:rPr>
                <w:b/>
                <w:spacing w:val="40"/>
                <w:sz w:val="17"/>
              </w:rPr>
              <w:t> </w:t>
            </w:r>
            <w:r>
              <w:rPr>
                <w:b/>
                <w:spacing w:val="-2"/>
                <w:sz w:val="17"/>
              </w:rPr>
              <w:t>Prediction</w:t>
            </w:r>
            <w:r>
              <w:rPr>
                <w:b/>
                <w:spacing w:val="40"/>
                <w:sz w:val="17"/>
              </w:rPr>
              <w:t> </w:t>
            </w:r>
            <w:r>
              <w:rPr>
                <w:b/>
                <w:spacing w:val="-4"/>
                <w:sz w:val="17"/>
              </w:rPr>
              <w:t>Error</w:t>
            </w:r>
            <w:r>
              <w:rPr>
                <w:b/>
                <w:spacing w:val="-6"/>
                <w:sz w:val="17"/>
              </w:rPr>
              <w:t> </w:t>
            </w:r>
            <w:r>
              <w:rPr>
                <w:b/>
                <w:spacing w:val="-4"/>
                <w:sz w:val="17"/>
              </w:rPr>
              <w:t>in</w:t>
            </w:r>
            <w:r>
              <w:rPr>
                <w:b/>
                <w:spacing w:val="-6"/>
                <w:sz w:val="17"/>
              </w:rPr>
              <w:t> </w:t>
            </w:r>
            <w:r>
              <w:rPr>
                <w:b/>
                <w:spacing w:val="-4"/>
                <w:sz w:val="17"/>
              </w:rPr>
              <w:t>2017</w:t>
            </w:r>
          </w:p>
        </w:tc>
        <w:tc>
          <w:tcPr>
            <w:tcW w:w="953" w:type="dxa"/>
            <w:tcBorders>
              <w:bottom w:val="single" w:sz="8" w:space="0" w:color="000000"/>
            </w:tcBorders>
          </w:tcPr>
          <w:p>
            <w:pPr>
              <w:pStyle w:val="TableParagraph"/>
              <w:spacing w:line="240" w:lineRule="auto" w:before="0"/>
              <w:rPr>
                <w:rFonts w:ascii="Times New Roman"/>
                <w:sz w:val="16"/>
              </w:rPr>
            </w:pPr>
          </w:p>
          <w:p>
            <w:pPr>
              <w:pStyle w:val="TableParagraph"/>
              <w:spacing w:line="240" w:lineRule="auto" w:before="5"/>
              <w:rPr>
                <w:rFonts w:ascii="Times New Roman"/>
                <w:sz w:val="22"/>
              </w:rPr>
            </w:pPr>
          </w:p>
          <w:p>
            <w:pPr>
              <w:pStyle w:val="TableParagraph"/>
              <w:spacing w:line="220" w:lineRule="atLeast" w:before="0"/>
              <w:ind w:left="31" w:right="30" w:hanging="3"/>
              <w:jc w:val="center"/>
              <w:rPr>
                <w:b/>
                <w:sz w:val="17"/>
              </w:rPr>
            </w:pPr>
            <w:r>
              <w:rPr>
                <w:b/>
                <w:spacing w:val="-2"/>
                <w:sz w:val="17"/>
              </w:rPr>
              <w:t>Squared</w:t>
            </w:r>
            <w:r>
              <w:rPr>
                <w:b/>
                <w:spacing w:val="40"/>
                <w:sz w:val="17"/>
              </w:rPr>
              <w:t> </w:t>
            </w:r>
            <w:r>
              <w:rPr>
                <w:b/>
                <w:spacing w:val="-2"/>
                <w:sz w:val="17"/>
              </w:rPr>
              <w:t>Recruitment</w:t>
            </w:r>
            <w:r>
              <w:rPr>
                <w:b/>
                <w:spacing w:val="40"/>
                <w:sz w:val="17"/>
              </w:rPr>
              <w:t> </w:t>
            </w:r>
            <w:r>
              <w:rPr>
                <w:b/>
                <w:spacing w:val="-2"/>
                <w:sz w:val="17"/>
              </w:rPr>
              <w:t>Prediction</w:t>
            </w:r>
            <w:r>
              <w:rPr>
                <w:b/>
                <w:spacing w:val="40"/>
                <w:sz w:val="17"/>
              </w:rPr>
              <w:t> </w:t>
            </w:r>
            <w:r>
              <w:rPr>
                <w:b/>
                <w:spacing w:val="-4"/>
                <w:sz w:val="17"/>
              </w:rPr>
              <w:t>Error</w:t>
            </w:r>
            <w:r>
              <w:rPr>
                <w:b/>
                <w:spacing w:val="-6"/>
                <w:sz w:val="17"/>
              </w:rPr>
              <w:t> </w:t>
            </w:r>
            <w:r>
              <w:rPr>
                <w:b/>
                <w:spacing w:val="-4"/>
                <w:sz w:val="17"/>
              </w:rPr>
              <w:t>in</w:t>
            </w:r>
            <w:r>
              <w:rPr>
                <w:b/>
                <w:spacing w:val="-6"/>
                <w:sz w:val="17"/>
              </w:rPr>
              <w:t> </w:t>
            </w:r>
            <w:r>
              <w:rPr>
                <w:b/>
                <w:spacing w:val="-4"/>
                <w:sz w:val="17"/>
              </w:rPr>
              <w:t>2018</w:t>
            </w:r>
          </w:p>
        </w:tc>
        <w:tc>
          <w:tcPr>
            <w:tcW w:w="1288" w:type="dxa"/>
            <w:tcBorders>
              <w:bottom w:val="single" w:sz="8" w:space="0" w:color="000000"/>
            </w:tcBorders>
          </w:tcPr>
          <w:p>
            <w:pPr>
              <w:pStyle w:val="TableParagraph"/>
              <w:spacing w:line="240" w:lineRule="auto" w:before="9"/>
              <w:rPr>
                <w:rFonts w:ascii="Times New Roman"/>
                <w:sz w:val="19"/>
              </w:rPr>
            </w:pPr>
          </w:p>
          <w:p>
            <w:pPr>
              <w:pStyle w:val="TableParagraph"/>
              <w:spacing w:line="261" w:lineRule="auto" w:before="0"/>
              <w:ind w:left="67" w:right="63"/>
              <w:jc w:val="center"/>
              <w:rPr>
                <w:b/>
                <w:sz w:val="17"/>
              </w:rPr>
            </w:pPr>
            <w:r>
              <w:rPr>
                <w:b/>
                <w:sz w:val="17"/>
              </w:rPr>
              <w:t>Variance</w:t>
            </w:r>
            <w:r>
              <w:rPr>
                <w:b/>
                <w:spacing w:val="-6"/>
                <w:sz w:val="17"/>
              </w:rPr>
              <w:t> </w:t>
            </w:r>
            <w:r>
              <w:rPr>
                <w:b/>
                <w:sz w:val="17"/>
              </w:rPr>
              <w:t>of</w:t>
            </w:r>
            <w:r>
              <w:rPr>
                <w:b/>
                <w:spacing w:val="40"/>
                <w:sz w:val="17"/>
              </w:rPr>
              <w:t> </w:t>
            </w:r>
            <w:r>
              <w:rPr>
                <w:b/>
                <w:spacing w:val="-2"/>
                <w:sz w:val="17"/>
              </w:rPr>
              <w:t>Recruitment</w:t>
            </w:r>
            <w:r>
              <w:rPr>
                <w:b/>
                <w:spacing w:val="40"/>
                <w:sz w:val="17"/>
              </w:rPr>
              <w:t> </w:t>
            </w:r>
            <w:r>
              <w:rPr>
                <w:b/>
                <w:spacing w:val="-4"/>
                <w:sz w:val="17"/>
              </w:rPr>
              <w:t>Estimate</w:t>
            </w:r>
            <w:r>
              <w:rPr>
                <w:b/>
                <w:spacing w:val="-6"/>
                <w:sz w:val="17"/>
              </w:rPr>
              <w:t> </w:t>
            </w:r>
            <w:r>
              <w:rPr>
                <w:b/>
                <w:spacing w:val="-4"/>
                <w:sz w:val="17"/>
              </w:rPr>
              <w:t>by</w:t>
            </w:r>
            <w:r>
              <w:rPr>
                <w:b/>
                <w:spacing w:val="-6"/>
                <w:sz w:val="17"/>
              </w:rPr>
              <w:t> </w:t>
            </w:r>
            <w:r>
              <w:rPr>
                <w:b/>
                <w:spacing w:val="-4"/>
                <w:sz w:val="17"/>
              </w:rPr>
              <w:t>Year</w:t>
            </w:r>
            <w:r>
              <w:rPr>
                <w:b/>
                <w:spacing w:val="40"/>
                <w:sz w:val="17"/>
              </w:rPr>
              <w:t> </w:t>
            </w:r>
            <w:r>
              <w:rPr>
                <w:b/>
                <w:sz w:val="17"/>
              </w:rPr>
              <w:t>(Top</w:t>
            </w:r>
            <w:r>
              <w:rPr>
                <w:b/>
                <w:spacing w:val="-2"/>
                <w:sz w:val="17"/>
              </w:rPr>
              <w:t> </w:t>
            </w:r>
            <w:r>
              <w:rPr>
                <w:b/>
                <w:sz w:val="17"/>
              </w:rPr>
              <w:t>2017,</w:t>
            </w:r>
          </w:p>
          <w:p>
            <w:pPr>
              <w:pStyle w:val="TableParagraph"/>
              <w:spacing w:line="195" w:lineRule="exact" w:before="2"/>
              <w:ind w:left="64" w:right="63"/>
              <w:jc w:val="center"/>
              <w:rPr>
                <w:b/>
                <w:sz w:val="17"/>
              </w:rPr>
            </w:pPr>
            <w:r>
              <w:rPr>
                <w:b/>
                <w:spacing w:val="-2"/>
                <w:sz w:val="17"/>
              </w:rPr>
              <w:t>Bottom</w:t>
            </w:r>
            <w:r>
              <w:rPr>
                <w:b/>
                <w:spacing w:val="-8"/>
                <w:sz w:val="17"/>
              </w:rPr>
              <w:t> </w:t>
            </w:r>
            <w:r>
              <w:rPr>
                <w:b/>
                <w:spacing w:val="-2"/>
                <w:sz w:val="17"/>
              </w:rPr>
              <w:t>2018)</w:t>
            </w:r>
          </w:p>
        </w:tc>
        <w:tc>
          <w:tcPr>
            <w:tcW w:w="1273" w:type="dxa"/>
            <w:tcBorders>
              <w:bottom w:val="single" w:sz="8" w:space="0" w:color="000000"/>
            </w:tcBorders>
          </w:tcPr>
          <w:p>
            <w:pPr>
              <w:pStyle w:val="TableParagraph"/>
              <w:spacing w:line="261" w:lineRule="auto" w:before="1"/>
              <w:ind w:left="59" w:right="57" w:firstLine="2"/>
              <w:jc w:val="center"/>
              <w:rPr>
                <w:b/>
                <w:sz w:val="17"/>
              </w:rPr>
            </w:pPr>
            <w:r>
              <w:rPr>
                <w:b/>
                <w:spacing w:val="-4"/>
                <w:sz w:val="17"/>
              </w:rPr>
              <w:t>Inverse</w:t>
            </w:r>
            <w:r>
              <w:rPr>
                <w:b/>
                <w:spacing w:val="-6"/>
                <w:sz w:val="17"/>
              </w:rPr>
              <w:t> </w:t>
            </w:r>
            <w:r>
              <w:rPr>
                <w:b/>
                <w:spacing w:val="-4"/>
                <w:sz w:val="17"/>
              </w:rPr>
              <w:t>Variance</w:t>
            </w:r>
            <w:r>
              <w:rPr>
                <w:b/>
                <w:spacing w:val="40"/>
                <w:sz w:val="17"/>
              </w:rPr>
              <w:t> </w:t>
            </w:r>
            <w:r>
              <w:rPr>
                <w:b/>
                <w:sz w:val="17"/>
              </w:rPr>
              <w:t>Weight for</w:t>
            </w:r>
            <w:r>
              <w:rPr>
                <w:b/>
                <w:spacing w:val="40"/>
                <w:sz w:val="17"/>
              </w:rPr>
              <w:t> </w:t>
            </w:r>
            <w:r>
              <w:rPr>
                <w:b/>
                <w:spacing w:val="-2"/>
                <w:sz w:val="17"/>
              </w:rPr>
              <w:t>Recruitment</w:t>
            </w:r>
            <w:r>
              <w:rPr>
                <w:b/>
                <w:spacing w:val="40"/>
                <w:sz w:val="17"/>
              </w:rPr>
              <w:t> </w:t>
            </w:r>
            <w:r>
              <w:rPr>
                <w:b/>
                <w:spacing w:val="-4"/>
                <w:sz w:val="17"/>
              </w:rPr>
              <w:t>Estimate</w:t>
            </w:r>
            <w:r>
              <w:rPr>
                <w:b/>
                <w:spacing w:val="-6"/>
                <w:sz w:val="17"/>
              </w:rPr>
              <w:t> </w:t>
            </w:r>
            <w:r>
              <w:rPr>
                <w:b/>
                <w:spacing w:val="-4"/>
                <w:sz w:val="17"/>
              </w:rPr>
              <w:t>by</w:t>
            </w:r>
            <w:r>
              <w:rPr>
                <w:b/>
                <w:spacing w:val="-6"/>
                <w:sz w:val="17"/>
              </w:rPr>
              <w:t> </w:t>
            </w:r>
            <w:r>
              <w:rPr>
                <w:b/>
                <w:spacing w:val="-4"/>
                <w:sz w:val="17"/>
              </w:rPr>
              <w:t>Year</w:t>
            </w:r>
            <w:r>
              <w:rPr>
                <w:b/>
                <w:spacing w:val="40"/>
                <w:sz w:val="17"/>
              </w:rPr>
              <w:t> </w:t>
            </w:r>
            <w:r>
              <w:rPr>
                <w:b/>
                <w:sz w:val="17"/>
              </w:rPr>
              <w:t>(Top</w:t>
            </w:r>
            <w:r>
              <w:rPr>
                <w:b/>
                <w:spacing w:val="-2"/>
                <w:sz w:val="17"/>
              </w:rPr>
              <w:t> </w:t>
            </w:r>
            <w:r>
              <w:rPr>
                <w:b/>
                <w:sz w:val="17"/>
              </w:rPr>
              <w:t>2017,</w:t>
            </w:r>
          </w:p>
          <w:p>
            <w:pPr>
              <w:pStyle w:val="TableParagraph"/>
              <w:spacing w:line="195" w:lineRule="exact" w:before="2"/>
              <w:ind w:left="141" w:right="141"/>
              <w:jc w:val="center"/>
              <w:rPr>
                <w:b/>
                <w:sz w:val="17"/>
              </w:rPr>
            </w:pPr>
            <w:r>
              <w:rPr>
                <w:b/>
                <w:spacing w:val="-2"/>
                <w:sz w:val="17"/>
              </w:rPr>
              <w:t>Bottom</w:t>
            </w:r>
            <w:r>
              <w:rPr>
                <w:b/>
                <w:spacing w:val="-8"/>
                <w:sz w:val="17"/>
              </w:rPr>
              <w:t> </w:t>
            </w:r>
            <w:r>
              <w:rPr>
                <w:b/>
                <w:spacing w:val="-2"/>
                <w:sz w:val="17"/>
              </w:rPr>
              <w:t>2018)</w:t>
            </w:r>
          </w:p>
        </w:tc>
        <w:tc>
          <w:tcPr>
            <w:tcW w:w="931" w:type="dxa"/>
            <w:tcBorders>
              <w:bottom w:val="single" w:sz="8" w:space="0" w:color="000000"/>
            </w:tcBorders>
          </w:tcPr>
          <w:p>
            <w:pPr>
              <w:pStyle w:val="TableParagraph"/>
              <w:spacing w:line="261" w:lineRule="auto" w:before="1"/>
              <w:ind w:left="110" w:right="101" w:hanging="9"/>
              <w:jc w:val="center"/>
              <w:rPr>
                <w:b/>
                <w:sz w:val="17"/>
              </w:rPr>
            </w:pPr>
            <w:r>
              <w:rPr>
                <w:b/>
                <w:spacing w:val="-2"/>
                <w:sz w:val="17"/>
              </w:rPr>
              <w:t>Combined</w:t>
            </w:r>
            <w:r>
              <w:rPr>
                <w:b/>
                <w:spacing w:val="40"/>
                <w:sz w:val="17"/>
              </w:rPr>
              <w:t> </w:t>
            </w:r>
            <w:r>
              <w:rPr>
                <w:b/>
                <w:spacing w:val="-6"/>
                <w:sz w:val="17"/>
              </w:rPr>
              <w:t>2017-2018</w:t>
            </w:r>
          </w:p>
          <w:p>
            <w:pPr>
              <w:pStyle w:val="TableParagraph"/>
              <w:spacing w:line="261" w:lineRule="auto" w:before="1"/>
              <w:ind w:left="36" w:right="37" w:firstLine="8"/>
              <w:jc w:val="center"/>
              <w:rPr>
                <w:b/>
                <w:sz w:val="17"/>
              </w:rPr>
            </w:pPr>
            <w:r>
              <w:rPr>
                <w:b/>
                <w:spacing w:val="-2"/>
                <w:sz w:val="17"/>
              </w:rPr>
              <w:t>Weighted</w:t>
            </w:r>
            <w:r>
              <w:rPr>
                <w:b/>
                <w:spacing w:val="40"/>
                <w:sz w:val="17"/>
              </w:rPr>
              <w:t> </w:t>
            </w:r>
            <w:r>
              <w:rPr>
                <w:b/>
                <w:spacing w:val="-4"/>
                <w:sz w:val="17"/>
              </w:rPr>
              <w:t>Recruitment</w:t>
            </w:r>
            <w:r>
              <w:rPr>
                <w:b/>
                <w:spacing w:val="40"/>
                <w:sz w:val="17"/>
              </w:rPr>
              <w:t> </w:t>
            </w:r>
            <w:r>
              <w:rPr>
                <w:b/>
                <w:spacing w:val="-2"/>
                <w:sz w:val="17"/>
              </w:rPr>
              <w:t>Prediction</w:t>
            </w:r>
          </w:p>
          <w:p>
            <w:pPr>
              <w:pStyle w:val="TableParagraph"/>
              <w:spacing w:line="195" w:lineRule="exact" w:before="1"/>
              <w:ind w:left="270" w:right="264"/>
              <w:jc w:val="center"/>
              <w:rPr>
                <w:b/>
                <w:sz w:val="17"/>
              </w:rPr>
            </w:pPr>
            <w:r>
              <w:rPr>
                <w:b/>
                <w:spacing w:val="-2"/>
                <w:sz w:val="17"/>
              </w:rPr>
              <w:t>Error</w:t>
            </w:r>
          </w:p>
        </w:tc>
        <w:tc>
          <w:tcPr>
            <w:tcW w:w="1028" w:type="dxa"/>
            <w:tcBorders>
              <w:bottom w:val="single" w:sz="8" w:space="0" w:color="000000"/>
            </w:tcBorders>
          </w:tcPr>
          <w:p>
            <w:pPr>
              <w:pStyle w:val="TableParagraph"/>
              <w:spacing w:line="261" w:lineRule="auto" w:before="1"/>
              <w:ind w:left="35" w:right="44" w:firstLine="9"/>
              <w:jc w:val="center"/>
              <w:rPr>
                <w:b/>
                <w:sz w:val="17"/>
              </w:rPr>
            </w:pPr>
            <w:r>
              <w:rPr>
                <w:b/>
                <w:spacing w:val="-2"/>
                <w:sz w:val="17"/>
              </w:rPr>
              <w:t>Inverse</w:t>
            </w:r>
            <w:r>
              <w:rPr>
                <w:b/>
                <w:spacing w:val="40"/>
                <w:sz w:val="17"/>
              </w:rPr>
              <w:t> </w:t>
            </w:r>
            <w:r>
              <w:rPr>
                <w:b/>
                <w:sz w:val="17"/>
              </w:rPr>
              <w:t>Variance</w:t>
            </w:r>
            <w:r>
              <w:rPr>
                <w:b/>
                <w:spacing w:val="-6"/>
                <w:sz w:val="17"/>
              </w:rPr>
              <w:t> </w:t>
            </w:r>
            <w:r>
              <w:rPr>
                <w:b/>
                <w:sz w:val="17"/>
              </w:rPr>
              <w:t>of</w:t>
            </w:r>
            <w:r>
              <w:rPr>
                <w:b/>
                <w:spacing w:val="40"/>
                <w:sz w:val="17"/>
              </w:rPr>
              <w:t> </w:t>
            </w:r>
            <w:r>
              <w:rPr>
                <w:b/>
                <w:spacing w:val="-2"/>
                <w:sz w:val="17"/>
              </w:rPr>
              <w:t>Combined</w:t>
            </w:r>
            <w:r>
              <w:rPr>
                <w:b/>
                <w:spacing w:val="40"/>
                <w:sz w:val="17"/>
              </w:rPr>
              <w:t> </w:t>
            </w:r>
            <w:r>
              <w:rPr>
                <w:b/>
                <w:spacing w:val="-2"/>
                <w:sz w:val="17"/>
              </w:rPr>
              <w:t>Prediction</w:t>
            </w:r>
            <w:r>
              <w:rPr>
                <w:b/>
                <w:spacing w:val="40"/>
                <w:sz w:val="17"/>
              </w:rPr>
              <w:t> </w:t>
            </w:r>
            <w:r>
              <w:rPr>
                <w:b/>
                <w:spacing w:val="-4"/>
                <w:sz w:val="17"/>
              </w:rPr>
              <w:t>Error</w:t>
            </w:r>
            <w:r>
              <w:rPr>
                <w:b/>
                <w:spacing w:val="-6"/>
                <w:sz w:val="17"/>
              </w:rPr>
              <w:t> </w:t>
            </w:r>
            <w:r>
              <w:rPr>
                <w:b/>
                <w:spacing w:val="-4"/>
                <w:sz w:val="17"/>
              </w:rPr>
              <w:t>(1/MSE)</w:t>
            </w:r>
          </w:p>
          <w:p>
            <w:pPr>
              <w:pStyle w:val="TableParagraph"/>
              <w:spacing w:line="195" w:lineRule="exact" w:before="2"/>
              <w:ind w:left="163" w:right="167"/>
              <w:jc w:val="center"/>
              <w:rPr>
                <w:b/>
                <w:sz w:val="17"/>
              </w:rPr>
            </w:pPr>
            <w:r>
              <w:rPr>
                <w:b/>
                <w:spacing w:val="-2"/>
                <w:sz w:val="17"/>
              </w:rPr>
              <w:t>by</w:t>
            </w:r>
            <w:r>
              <w:rPr>
                <w:b/>
                <w:spacing w:val="-7"/>
                <w:sz w:val="17"/>
              </w:rPr>
              <w:t> </w:t>
            </w:r>
            <w:r>
              <w:rPr>
                <w:b/>
                <w:spacing w:val="-2"/>
                <w:sz w:val="17"/>
              </w:rPr>
              <w:t>Model</w:t>
            </w:r>
          </w:p>
        </w:tc>
        <w:tc>
          <w:tcPr>
            <w:tcW w:w="1043" w:type="dxa"/>
            <w:tcBorders>
              <w:bottom w:val="single" w:sz="8" w:space="0" w:color="000000"/>
            </w:tcBorders>
          </w:tcPr>
          <w:p>
            <w:pPr>
              <w:pStyle w:val="TableParagraph"/>
              <w:spacing w:line="261" w:lineRule="auto" w:before="1"/>
              <w:ind w:left="26" w:right="39" w:firstLine="10"/>
              <w:jc w:val="center"/>
              <w:rPr>
                <w:b/>
                <w:sz w:val="17"/>
              </w:rPr>
            </w:pPr>
            <w:r>
              <w:rPr>
                <w:b/>
                <w:spacing w:val="-2"/>
                <w:sz w:val="17"/>
              </w:rPr>
              <w:t>Inverse</w:t>
            </w:r>
            <w:r>
              <w:rPr>
                <w:b/>
                <w:spacing w:val="40"/>
                <w:sz w:val="17"/>
              </w:rPr>
              <w:t> </w:t>
            </w:r>
            <w:r>
              <w:rPr>
                <w:b/>
                <w:spacing w:val="-2"/>
                <w:sz w:val="17"/>
              </w:rPr>
              <w:t>Variance</w:t>
            </w:r>
            <w:r>
              <w:rPr>
                <w:b/>
                <w:spacing w:val="40"/>
                <w:sz w:val="17"/>
              </w:rPr>
              <w:t> </w:t>
            </w:r>
            <w:r>
              <w:rPr>
                <w:b/>
                <w:spacing w:val="-6"/>
                <w:sz w:val="17"/>
              </w:rPr>
              <w:t>Model</w:t>
            </w:r>
            <w:r>
              <w:rPr>
                <w:b/>
                <w:spacing w:val="-5"/>
                <w:sz w:val="17"/>
              </w:rPr>
              <w:t> </w:t>
            </w:r>
            <w:r>
              <w:rPr>
                <w:b/>
                <w:spacing w:val="-6"/>
                <w:sz w:val="17"/>
              </w:rPr>
              <w:t>Weight</w:t>
            </w:r>
            <w:r>
              <w:rPr>
                <w:b/>
                <w:spacing w:val="40"/>
                <w:sz w:val="17"/>
              </w:rPr>
              <w:t> </w:t>
            </w:r>
            <w:r>
              <w:rPr>
                <w:b/>
                <w:sz w:val="17"/>
              </w:rPr>
              <w:t>Based</w:t>
            </w:r>
            <w:r>
              <w:rPr>
                <w:b/>
                <w:spacing w:val="-2"/>
                <w:sz w:val="17"/>
              </w:rPr>
              <w:t> </w:t>
            </w:r>
            <w:r>
              <w:rPr>
                <w:b/>
                <w:sz w:val="17"/>
              </w:rPr>
              <w:t>on</w:t>
            </w:r>
            <w:r>
              <w:rPr>
                <w:b/>
                <w:spacing w:val="40"/>
                <w:sz w:val="17"/>
              </w:rPr>
              <w:t> </w:t>
            </w:r>
            <w:r>
              <w:rPr>
                <w:b/>
                <w:spacing w:val="-2"/>
                <w:sz w:val="17"/>
              </w:rPr>
              <w:t>Predictive</w:t>
            </w:r>
          </w:p>
          <w:p>
            <w:pPr>
              <w:pStyle w:val="TableParagraph"/>
              <w:spacing w:line="195" w:lineRule="exact" w:before="2"/>
              <w:ind w:left="188" w:right="188"/>
              <w:jc w:val="center"/>
              <w:rPr>
                <w:b/>
                <w:sz w:val="17"/>
              </w:rPr>
            </w:pPr>
            <w:r>
              <w:rPr>
                <w:b/>
                <w:spacing w:val="-2"/>
                <w:sz w:val="17"/>
              </w:rPr>
              <w:t>Accuracy</w:t>
            </w:r>
          </w:p>
        </w:tc>
        <w:tc>
          <w:tcPr>
            <w:tcW w:w="946" w:type="dxa"/>
            <w:tcBorders>
              <w:bottom w:val="single" w:sz="8" w:space="0" w:color="000000"/>
            </w:tcBorders>
          </w:tcPr>
          <w:p>
            <w:pPr>
              <w:pStyle w:val="TableParagraph"/>
              <w:spacing w:line="240" w:lineRule="auto"/>
              <w:rPr>
                <w:rFonts w:ascii="Times New Roman"/>
                <w:sz w:val="18"/>
              </w:rPr>
            </w:pPr>
          </w:p>
          <w:p>
            <w:pPr>
              <w:pStyle w:val="TableParagraph"/>
              <w:spacing w:line="220" w:lineRule="atLeast" w:before="0"/>
              <w:ind w:left="18" w:right="22" w:firstLine="7"/>
              <w:jc w:val="center"/>
              <w:rPr>
                <w:b/>
                <w:sz w:val="17"/>
              </w:rPr>
            </w:pPr>
            <w:r>
              <w:rPr>
                <w:b/>
                <w:spacing w:val="-2"/>
                <w:sz w:val="17"/>
              </w:rPr>
              <w:t>Relative</w:t>
            </w:r>
            <w:r>
              <w:rPr>
                <w:b/>
                <w:spacing w:val="40"/>
                <w:sz w:val="17"/>
              </w:rPr>
              <w:t> </w:t>
            </w:r>
            <w:r>
              <w:rPr>
                <w:b/>
                <w:sz w:val="17"/>
              </w:rPr>
              <w:t>Odds</w:t>
            </w:r>
            <w:r>
              <w:rPr>
                <w:b/>
                <w:spacing w:val="-2"/>
                <w:sz w:val="17"/>
              </w:rPr>
              <w:t> </w:t>
            </w:r>
            <w:r>
              <w:rPr>
                <w:b/>
                <w:sz w:val="17"/>
              </w:rPr>
              <w:t>by</w:t>
            </w:r>
            <w:r>
              <w:rPr>
                <w:b/>
                <w:spacing w:val="40"/>
                <w:sz w:val="17"/>
              </w:rPr>
              <w:t> </w:t>
            </w:r>
            <w:r>
              <w:rPr>
                <w:b/>
                <w:spacing w:val="-4"/>
                <w:sz w:val="17"/>
              </w:rPr>
              <w:t>Model</w:t>
            </w:r>
            <w:r>
              <w:rPr>
                <w:b/>
                <w:spacing w:val="-6"/>
                <w:sz w:val="17"/>
              </w:rPr>
              <w:t> </w:t>
            </w:r>
            <w:r>
              <w:rPr>
                <w:b/>
                <w:spacing w:val="-4"/>
                <w:sz w:val="17"/>
              </w:rPr>
              <w:t>Based</w:t>
            </w:r>
            <w:r>
              <w:rPr>
                <w:b/>
                <w:spacing w:val="40"/>
                <w:sz w:val="17"/>
              </w:rPr>
              <w:t> </w:t>
            </w:r>
            <w:r>
              <w:rPr>
                <w:b/>
                <w:spacing w:val="-4"/>
                <w:sz w:val="17"/>
              </w:rPr>
              <w:t>on</w:t>
            </w:r>
            <w:r>
              <w:rPr>
                <w:b/>
                <w:spacing w:val="-6"/>
                <w:sz w:val="17"/>
              </w:rPr>
              <w:t> </w:t>
            </w:r>
            <w:r>
              <w:rPr>
                <w:b/>
                <w:spacing w:val="-4"/>
                <w:sz w:val="17"/>
              </w:rPr>
              <w:t>Predictive</w:t>
            </w:r>
            <w:r>
              <w:rPr>
                <w:b/>
                <w:spacing w:val="40"/>
                <w:sz w:val="17"/>
              </w:rPr>
              <w:t> </w:t>
            </w:r>
            <w:r>
              <w:rPr>
                <w:b/>
                <w:spacing w:val="-2"/>
                <w:sz w:val="17"/>
              </w:rPr>
              <w:t>Accuracy</w:t>
            </w:r>
          </w:p>
        </w:tc>
      </w:tr>
      <w:tr>
        <w:trPr>
          <w:trHeight w:val="215" w:hRule="atLeast"/>
        </w:trPr>
        <w:tc>
          <w:tcPr>
            <w:tcW w:w="1682" w:type="dxa"/>
            <w:tcBorders>
              <w:top w:val="single" w:sz="8" w:space="0" w:color="000000"/>
            </w:tcBorders>
          </w:tcPr>
          <w:p>
            <w:pPr>
              <w:pStyle w:val="TableParagraph"/>
              <w:ind w:left="139" w:right="130"/>
              <w:jc w:val="center"/>
              <w:rPr>
                <w:b/>
                <w:sz w:val="17"/>
              </w:rPr>
            </w:pPr>
            <w:r>
              <w:rPr>
                <w:b/>
                <w:spacing w:val="-2"/>
                <w:sz w:val="17"/>
              </w:rPr>
              <w:t>Short-term</w:t>
            </w:r>
            <w:r>
              <w:rPr>
                <w:b/>
                <w:spacing w:val="-7"/>
                <w:sz w:val="17"/>
              </w:rPr>
              <w:t> </w:t>
            </w:r>
            <w:r>
              <w:rPr>
                <w:b/>
                <w:spacing w:val="-2"/>
                <w:sz w:val="17"/>
              </w:rPr>
              <w:t>R</w:t>
            </w:r>
            <w:r>
              <w:rPr>
                <w:b/>
                <w:spacing w:val="-7"/>
                <w:sz w:val="17"/>
              </w:rPr>
              <w:t> </w:t>
            </w:r>
            <w:r>
              <w:rPr>
                <w:b/>
                <w:spacing w:val="-2"/>
                <w:sz w:val="17"/>
              </w:rPr>
              <w:t>Model</w:t>
            </w:r>
          </w:p>
        </w:tc>
        <w:tc>
          <w:tcPr>
            <w:tcW w:w="938" w:type="dxa"/>
            <w:tcBorders>
              <w:top w:val="single" w:sz="8" w:space="0" w:color="000000"/>
            </w:tcBorders>
          </w:tcPr>
          <w:p>
            <w:pPr>
              <w:pStyle w:val="TableParagraph"/>
              <w:ind w:left="178" w:right="164"/>
              <w:jc w:val="center"/>
              <w:rPr>
                <w:sz w:val="17"/>
              </w:rPr>
            </w:pPr>
            <w:r>
              <w:rPr>
                <w:spacing w:val="-2"/>
                <w:sz w:val="17"/>
              </w:rPr>
              <w:t>221.8</w:t>
            </w:r>
          </w:p>
        </w:tc>
        <w:tc>
          <w:tcPr>
            <w:tcW w:w="953" w:type="dxa"/>
            <w:tcBorders>
              <w:top w:val="single" w:sz="8" w:space="0" w:color="000000"/>
            </w:tcBorders>
          </w:tcPr>
          <w:p>
            <w:pPr>
              <w:pStyle w:val="TableParagraph"/>
              <w:ind w:left="209"/>
              <w:rPr>
                <w:sz w:val="17"/>
              </w:rPr>
            </w:pPr>
            <w:r>
              <w:rPr>
                <w:spacing w:val="-2"/>
                <w:sz w:val="17"/>
              </w:rPr>
              <w:t>18636.3</w:t>
            </w:r>
          </w:p>
        </w:tc>
        <w:tc>
          <w:tcPr>
            <w:tcW w:w="1288" w:type="dxa"/>
            <w:tcBorders>
              <w:top w:val="single" w:sz="8" w:space="0" w:color="000000"/>
            </w:tcBorders>
          </w:tcPr>
          <w:p>
            <w:pPr>
              <w:pStyle w:val="TableParagraph"/>
              <w:ind w:left="416"/>
              <w:rPr>
                <w:sz w:val="17"/>
              </w:rPr>
            </w:pPr>
            <w:r>
              <w:rPr>
                <w:spacing w:val="-2"/>
                <w:sz w:val="17"/>
              </w:rPr>
              <w:t>1576.8</w:t>
            </w:r>
          </w:p>
        </w:tc>
        <w:tc>
          <w:tcPr>
            <w:tcW w:w="1273" w:type="dxa"/>
            <w:tcBorders>
              <w:top w:val="single" w:sz="8" w:space="0" w:color="000000"/>
            </w:tcBorders>
          </w:tcPr>
          <w:p>
            <w:pPr>
              <w:pStyle w:val="TableParagraph"/>
              <w:ind w:left="341"/>
              <w:rPr>
                <w:sz w:val="17"/>
              </w:rPr>
            </w:pPr>
            <w:r>
              <w:rPr>
                <w:spacing w:val="-5"/>
                <w:sz w:val="17"/>
              </w:rPr>
              <w:t>6.34E-04</w:t>
            </w:r>
          </w:p>
        </w:tc>
        <w:tc>
          <w:tcPr>
            <w:tcW w:w="931" w:type="dxa"/>
            <w:tcBorders>
              <w:top w:val="single" w:sz="8" w:space="0" w:color="000000"/>
            </w:tcBorders>
          </w:tcPr>
          <w:p>
            <w:pPr>
              <w:pStyle w:val="TableParagraph"/>
              <w:ind w:left="235"/>
              <w:rPr>
                <w:sz w:val="17"/>
              </w:rPr>
            </w:pPr>
            <w:r>
              <w:rPr>
                <w:spacing w:val="-2"/>
                <w:sz w:val="17"/>
              </w:rPr>
              <w:t>2077.0</w:t>
            </w:r>
          </w:p>
        </w:tc>
        <w:tc>
          <w:tcPr>
            <w:tcW w:w="1028" w:type="dxa"/>
            <w:tcBorders>
              <w:top w:val="single" w:sz="8" w:space="0" w:color="000000"/>
            </w:tcBorders>
          </w:tcPr>
          <w:p>
            <w:pPr>
              <w:pStyle w:val="TableParagraph"/>
              <w:ind w:right="201"/>
              <w:jc w:val="right"/>
              <w:rPr>
                <w:sz w:val="17"/>
              </w:rPr>
            </w:pPr>
            <w:r>
              <w:rPr>
                <w:spacing w:val="-2"/>
                <w:sz w:val="17"/>
              </w:rPr>
              <w:t>0.000481</w:t>
            </w:r>
          </w:p>
        </w:tc>
        <w:tc>
          <w:tcPr>
            <w:tcW w:w="1043" w:type="dxa"/>
            <w:tcBorders>
              <w:top w:val="single" w:sz="8" w:space="0" w:color="000000"/>
            </w:tcBorders>
          </w:tcPr>
          <w:p>
            <w:pPr>
              <w:pStyle w:val="TableParagraph"/>
              <w:ind w:left="187" w:right="188"/>
              <w:jc w:val="center"/>
              <w:rPr>
                <w:sz w:val="17"/>
              </w:rPr>
            </w:pPr>
            <w:r>
              <w:rPr>
                <w:spacing w:val="-2"/>
                <w:sz w:val="17"/>
              </w:rPr>
              <w:t>0.916</w:t>
            </w:r>
          </w:p>
        </w:tc>
        <w:tc>
          <w:tcPr>
            <w:tcW w:w="946" w:type="dxa"/>
            <w:tcBorders>
              <w:top w:val="single" w:sz="8" w:space="0" w:color="000000"/>
            </w:tcBorders>
          </w:tcPr>
          <w:p>
            <w:pPr>
              <w:pStyle w:val="TableParagraph"/>
              <w:ind w:left="321"/>
              <w:rPr>
                <w:sz w:val="17"/>
              </w:rPr>
            </w:pPr>
            <w:r>
              <w:rPr>
                <w:spacing w:val="-4"/>
                <w:sz w:val="17"/>
              </w:rPr>
              <w:t>10.9</w:t>
            </w:r>
          </w:p>
        </w:tc>
      </w:tr>
      <w:tr>
        <w:trPr>
          <w:trHeight w:val="215" w:hRule="atLeast"/>
        </w:trPr>
        <w:tc>
          <w:tcPr>
            <w:tcW w:w="1682" w:type="dxa"/>
            <w:tcBorders>
              <w:bottom w:val="single" w:sz="8" w:space="0" w:color="000000"/>
            </w:tcBorders>
          </w:tcPr>
          <w:p>
            <w:pPr>
              <w:pStyle w:val="TableParagraph"/>
              <w:spacing w:line="194" w:lineRule="exact" w:before="1"/>
              <w:ind w:left="132" w:right="130"/>
              <w:jc w:val="center"/>
              <w:rPr>
                <w:b/>
                <w:sz w:val="17"/>
              </w:rPr>
            </w:pPr>
            <w:r>
              <w:rPr>
                <w:b/>
                <w:spacing w:val="-4"/>
                <w:sz w:val="17"/>
              </w:rPr>
              <w:t>Long-term</w:t>
            </w:r>
            <w:r>
              <w:rPr>
                <w:b/>
                <w:spacing w:val="1"/>
                <w:sz w:val="17"/>
              </w:rPr>
              <w:t> </w:t>
            </w:r>
            <w:r>
              <w:rPr>
                <w:b/>
                <w:spacing w:val="-4"/>
                <w:sz w:val="17"/>
              </w:rPr>
              <w:t>R</w:t>
            </w:r>
            <w:r>
              <w:rPr>
                <w:b/>
                <w:spacing w:val="-3"/>
                <w:sz w:val="17"/>
              </w:rPr>
              <w:t> </w:t>
            </w:r>
            <w:r>
              <w:rPr>
                <w:b/>
                <w:spacing w:val="-4"/>
                <w:sz w:val="17"/>
              </w:rPr>
              <w:t>Model</w:t>
            </w:r>
          </w:p>
        </w:tc>
        <w:tc>
          <w:tcPr>
            <w:tcW w:w="938" w:type="dxa"/>
            <w:tcBorders>
              <w:bottom w:val="single" w:sz="8" w:space="0" w:color="000000"/>
            </w:tcBorders>
          </w:tcPr>
          <w:p>
            <w:pPr>
              <w:pStyle w:val="TableParagraph"/>
              <w:spacing w:line="187" w:lineRule="exact" w:before="9"/>
              <w:ind w:left="178" w:right="164"/>
              <w:jc w:val="center"/>
              <w:rPr>
                <w:sz w:val="17"/>
              </w:rPr>
            </w:pPr>
            <w:r>
              <w:rPr>
                <w:spacing w:val="-2"/>
                <w:sz w:val="17"/>
              </w:rPr>
              <w:t>24988.3</w:t>
            </w:r>
          </w:p>
        </w:tc>
        <w:tc>
          <w:tcPr>
            <w:tcW w:w="953" w:type="dxa"/>
            <w:tcBorders>
              <w:bottom w:val="single" w:sz="8" w:space="0" w:color="000000"/>
            </w:tcBorders>
          </w:tcPr>
          <w:p>
            <w:pPr>
              <w:pStyle w:val="TableParagraph"/>
              <w:spacing w:line="187" w:lineRule="exact" w:before="9"/>
              <w:ind w:left="246"/>
              <w:rPr>
                <w:sz w:val="17"/>
              </w:rPr>
            </w:pPr>
            <w:r>
              <w:rPr>
                <w:spacing w:val="-2"/>
                <w:sz w:val="17"/>
              </w:rPr>
              <w:t>1328.9</w:t>
            </w:r>
          </w:p>
        </w:tc>
        <w:tc>
          <w:tcPr>
            <w:tcW w:w="1288" w:type="dxa"/>
            <w:tcBorders>
              <w:bottom w:val="single" w:sz="8" w:space="0" w:color="000000"/>
            </w:tcBorders>
          </w:tcPr>
          <w:p>
            <w:pPr>
              <w:pStyle w:val="TableParagraph"/>
              <w:spacing w:line="187" w:lineRule="exact" w:before="9"/>
              <w:ind w:left="371"/>
              <w:rPr>
                <w:sz w:val="17"/>
              </w:rPr>
            </w:pPr>
            <w:r>
              <w:rPr>
                <w:spacing w:val="-2"/>
                <w:sz w:val="17"/>
              </w:rPr>
              <w:t>14073.4</w:t>
            </w:r>
          </w:p>
        </w:tc>
        <w:tc>
          <w:tcPr>
            <w:tcW w:w="1273" w:type="dxa"/>
            <w:tcBorders>
              <w:bottom w:val="single" w:sz="8" w:space="0" w:color="000000"/>
            </w:tcBorders>
          </w:tcPr>
          <w:p>
            <w:pPr>
              <w:pStyle w:val="TableParagraph"/>
              <w:spacing w:line="187" w:lineRule="exact" w:before="9"/>
              <w:ind w:left="340"/>
              <w:rPr>
                <w:sz w:val="17"/>
              </w:rPr>
            </w:pPr>
            <w:r>
              <w:rPr>
                <w:spacing w:val="-5"/>
                <w:sz w:val="17"/>
              </w:rPr>
              <w:t>7.11E-05</w:t>
            </w:r>
          </w:p>
        </w:tc>
        <w:tc>
          <w:tcPr>
            <w:tcW w:w="931" w:type="dxa"/>
            <w:tcBorders>
              <w:bottom w:val="single" w:sz="8" w:space="0" w:color="000000"/>
            </w:tcBorders>
          </w:tcPr>
          <w:p>
            <w:pPr>
              <w:pStyle w:val="TableParagraph"/>
              <w:spacing w:line="187" w:lineRule="exact" w:before="9"/>
              <w:ind w:left="191"/>
              <w:rPr>
                <w:sz w:val="17"/>
              </w:rPr>
            </w:pPr>
            <w:r>
              <w:rPr>
                <w:spacing w:val="-2"/>
                <w:sz w:val="17"/>
              </w:rPr>
              <w:t>22604.6</w:t>
            </w:r>
          </w:p>
        </w:tc>
        <w:tc>
          <w:tcPr>
            <w:tcW w:w="1028" w:type="dxa"/>
            <w:tcBorders>
              <w:bottom w:val="single" w:sz="8" w:space="0" w:color="000000"/>
            </w:tcBorders>
          </w:tcPr>
          <w:p>
            <w:pPr>
              <w:pStyle w:val="TableParagraph"/>
              <w:spacing w:line="187" w:lineRule="exact" w:before="9"/>
              <w:ind w:right="201"/>
              <w:jc w:val="right"/>
              <w:rPr>
                <w:sz w:val="17"/>
              </w:rPr>
            </w:pPr>
            <w:r>
              <w:rPr>
                <w:spacing w:val="-2"/>
                <w:sz w:val="17"/>
              </w:rPr>
              <w:t>0.000044</w:t>
            </w:r>
          </w:p>
        </w:tc>
        <w:tc>
          <w:tcPr>
            <w:tcW w:w="1043" w:type="dxa"/>
            <w:tcBorders>
              <w:bottom w:val="single" w:sz="8" w:space="0" w:color="000000"/>
            </w:tcBorders>
          </w:tcPr>
          <w:p>
            <w:pPr>
              <w:pStyle w:val="TableParagraph"/>
              <w:spacing w:line="187" w:lineRule="exact" w:before="9"/>
              <w:ind w:left="187" w:right="188"/>
              <w:jc w:val="center"/>
              <w:rPr>
                <w:sz w:val="17"/>
              </w:rPr>
            </w:pPr>
            <w:r>
              <w:rPr>
                <w:spacing w:val="-2"/>
                <w:sz w:val="17"/>
              </w:rPr>
              <w:t>0.084</w:t>
            </w:r>
          </w:p>
        </w:tc>
        <w:tc>
          <w:tcPr>
            <w:tcW w:w="946" w:type="dxa"/>
            <w:tcBorders>
              <w:bottom w:val="single" w:sz="8" w:space="0" w:color="000000"/>
            </w:tcBorders>
          </w:tcPr>
          <w:p>
            <w:pPr>
              <w:pStyle w:val="TableParagraph"/>
              <w:spacing w:line="187" w:lineRule="exact" w:before="9"/>
              <w:ind w:left="358"/>
              <w:rPr>
                <w:sz w:val="17"/>
              </w:rPr>
            </w:pPr>
            <w:r>
              <w:rPr>
                <w:spacing w:val="-5"/>
                <w:sz w:val="17"/>
              </w:rPr>
              <w:t>0.1</w:t>
            </w:r>
          </w:p>
        </w:tc>
      </w:tr>
      <w:tr>
        <w:trPr>
          <w:trHeight w:val="215" w:hRule="atLeast"/>
        </w:trPr>
        <w:tc>
          <w:tcPr>
            <w:tcW w:w="1682" w:type="dxa"/>
            <w:tcBorders>
              <w:top w:val="single" w:sz="8" w:space="0" w:color="000000"/>
            </w:tcBorders>
          </w:tcPr>
          <w:p>
            <w:pPr>
              <w:pStyle w:val="TableParagraph"/>
              <w:ind w:left="139" w:right="129"/>
              <w:jc w:val="center"/>
              <w:rPr>
                <w:b/>
                <w:sz w:val="17"/>
              </w:rPr>
            </w:pPr>
            <w:r>
              <w:rPr>
                <w:b/>
                <w:spacing w:val="-2"/>
                <w:sz w:val="17"/>
              </w:rPr>
              <w:t>Total</w:t>
            </w:r>
          </w:p>
        </w:tc>
        <w:tc>
          <w:tcPr>
            <w:tcW w:w="938" w:type="dxa"/>
            <w:tcBorders>
              <w:top w:val="single" w:sz="8" w:space="0" w:color="000000"/>
            </w:tcBorders>
          </w:tcPr>
          <w:p>
            <w:pPr>
              <w:pStyle w:val="TableParagraph"/>
              <w:spacing w:line="240" w:lineRule="auto" w:before="0"/>
              <w:rPr>
                <w:rFonts w:ascii="Times New Roman"/>
                <w:sz w:val="14"/>
              </w:rPr>
            </w:pPr>
          </w:p>
        </w:tc>
        <w:tc>
          <w:tcPr>
            <w:tcW w:w="953" w:type="dxa"/>
            <w:tcBorders>
              <w:top w:val="single" w:sz="8" w:space="0" w:color="000000"/>
            </w:tcBorders>
          </w:tcPr>
          <w:p>
            <w:pPr>
              <w:pStyle w:val="TableParagraph"/>
              <w:spacing w:line="240" w:lineRule="auto" w:before="0"/>
              <w:rPr>
                <w:rFonts w:ascii="Times New Roman"/>
                <w:sz w:val="14"/>
              </w:rPr>
            </w:pPr>
          </w:p>
        </w:tc>
        <w:tc>
          <w:tcPr>
            <w:tcW w:w="1288" w:type="dxa"/>
            <w:tcBorders>
              <w:top w:val="single" w:sz="8" w:space="0" w:color="000000"/>
            </w:tcBorders>
          </w:tcPr>
          <w:p>
            <w:pPr>
              <w:pStyle w:val="TableParagraph"/>
              <w:ind w:left="372"/>
              <w:rPr>
                <w:sz w:val="17"/>
              </w:rPr>
            </w:pPr>
            <w:r>
              <w:rPr>
                <w:spacing w:val="-2"/>
                <w:sz w:val="17"/>
              </w:rPr>
              <w:t>15650.2</w:t>
            </w:r>
          </w:p>
        </w:tc>
        <w:tc>
          <w:tcPr>
            <w:tcW w:w="1273" w:type="dxa"/>
            <w:tcBorders>
              <w:top w:val="single" w:sz="8" w:space="0" w:color="000000"/>
            </w:tcBorders>
          </w:tcPr>
          <w:p>
            <w:pPr>
              <w:pStyle w:val="TableParagraph"/>
              <w:ind w:left="341"/>
              <w:rPr>
                <w:sz w:val="17"/>
              </w:rPr>
            </w:pPr>
            <w:r>
              <w:rPr>
                <w:spacing w:val="-5"/>
                <w:sz w:val="17"/>
              </w:rPr>
              <w:t>7.05E-04</w:t>
            </w:r>
          </w:p>
        </w:tc>
        <w:tc>
          <w:tcPr>
            <w:tcW w:w="931" w:type="dxa"/>
            <w:tcBorders>
              <w:top w:val="single" w:sz="8" w:space="0" w:color="000000"/>
            </w:tcBorders>
          </w:tcPr>
          <w:p>
            <w:pPr>
              <w:pStyle w:val="TableParagraph"/>
              <w:ind w:left="192"/>
              <w:rPr>
                <w:sz w:val="17"/>
              </w:rPr>
            </w:pPr>
            <w:r>
              <w:rPr>
                <w:spacing w:val="-2"/>
                <w:sz w:val="17"/>
              </w:rPr>
              <w:t>24681.6</w:t>
            </w:r>
          </w:p>
        </w:tc>
        <w:tc>
          <w:tcPr>
            <w:tcW w:w="1028" w:type="dxa"/>
            <w:tcBorders>
              <w:top w:val="single" w:sz="8" w:space="0" w:color="000000"/>
            </w:tcBorders>
          </w:tcPr>
          <w:p>
            <w:pPr>
              <w:pStyle w:val="TableParagraph"/>
              <w:ind w:right="200"/>
              <w:jc w:val="right"/>
              <w:rPr>
                <w:sz w:val="17"/>
              </w:rPr>
            </w:pPr>
            <w:r>
              <w:rPr>
                <w:spacing w:val="-2"/>
                <w:sz w:val="17"/>
              </w:rPr>
              <w:t>0.000526</w:t>
            </w:r>
          </w:p>
        </w:tc>
        <w:tc>
          <w:tcPr>
            <w:tcW w:w="1043" w:type="dxa"/>
            <w:tcBorders>
              <w:top w:val="single" w:sz="8" w:space="0" w:color="000000"/>
            </w:tcBorders>
          </w:tcPr>
          <w:p>
            <w:pPr>
              <w:pStyle w:val="TableParagraph"/>
              <w:ind w:left="188" w:right="188"/>
              <w:jc w:val="center"/>
              <w:rPr>
                <w:sz w:val="17"/>
              </w:rPr>
            </w:pPr>
            <w:r>
              <w:rPr>
                <w:spacing w:val="-2"/>
                <w:sz w:val="17"/>
              </w:rPr>
              <w:t>1.000</w:t>
            </w:r>
          </w:p>
        </w:tc>
        <w:tc>
          <w:tcPr>
            <w:tcW w:w="946" w:type="dxa"/>
            <w:tcBorders>
              <w:top w:val="single" w:sz="8" w:space="0" w:color="000000"/>
            </w:tcBorders>
          </w:tcPr>
          <w:p>
            <w:pPr>
              <w:pStyle w:val="TableParagraph"/>
              <w:spacing w:line="240" w:lineRule="auto" w:before="0"/>
              <w:rPr>
                <w:rFonts w:ascii="Times New Roman"/>
                <w:sz w:val="14"/>
              </w:rPr>
            </w:pPr>
          </w:p>
        </w:tc>
      </w:tr>
    </w:tbl>
    <w:p>
      <w:pPr>
        <w:spacing w:after="0" w:line="240" w:lineRule="auto"/>
        <w:rPr>
          <w:rFonts w:ascii="Times New Roman"/>
          <w:sz w:val="14"/>
        </w:rPr>
        <w:sectPr>
          <w:pgSz w:w="12240" w:h="15840"/>
          <w:pgMar w:header="0" w:footer="984" w:top="1360" w:bottom="1180" w:left="1320" w:right="600"/>
        </w:sectPr>
      </w:pPr>
    </w:p>
    <w:p>
      <w:pPr>
        <w:pStyle w:val="BodyText"/>
        <w:ind w:left="120"/>
        <w:rPr>
          <w:sz w:val="20"/>
        </w:rPr>
      </w:pPr>
      <w:r>
        <w:rPr>
          <w:sz w:val="20"/>
        </w:rPr>
        <w:drawing>
          <wp:inline distT="0" distB="0" distL="0" distR="0">
            <wp:extent cx="5562810" cy="4267200"/>
            <wp:effectExtent l="0" t="0" r="0" b="0"/>
            <wp:docPr id="3" name="Image 3" descr="Estimated recruitment from the 2019 Western and Central North Pacific Ocean striped marlin stock assessment with 80% confidence intervals (solid black line and circles) along with the average recruitment expected under the long-term (dashed green line) and short−term (solid red line) recruitment scenarios."/>
            <wp:cNvGraphicFramePr>
              <a:graphicFrameLocks/>
            </wp:cNvGraphicFramePr>
            <a:graphic>
              <a:graphicData uri="http://schemas.openxmlformats.org/drawingml/2006/picture">
                <pic:pic>
                  <pic:nvPicPr>
                    <pic:cNvPr id="3" name="Image 3" descr="Estimated recruitment from the 2019 Western and Central North Pacific Ocean striped marlin stock assessment with 80% confidence intervals (solid black line and circles) along with the average recruitment expected under the long-term (dashed green line) and short−term (solid red line) recruitment scenarios."/>
                    <pic:cNvPicPr/>
                  </pic:nvPicPr>
                  <pic:blipFill>
                    <a:blip r:embed="rId8" cstate="print"/>
                    <a:stretch>
                      <a:fillRect/>
                    </a:stretch>
                  </pic:blipFill>
                  <pic:spPr>
                    <a:xfrm>
                      <a:off x="0" y="0"/>
                      <a:ext cx="5562810" cy="4267200"/>
                    </a:xfrm>
                    <a:prstGeom prst="rect">
                      <a:avLst/>
                    </a:prstGeom>
                  </pic:spPr>
                </pic:pic>
              </a:graphicData>
            </a:graphic>
          </wp:inline>
        </w:drawing>
      </w:r>
      <w:r>
        <w:rPr>
          <w:sz w:val="20"/>
        </w:rPr>
      </w:r>
    </w:p>
    <w:p>
      <w:pPr>
        <w:pStyle w:val="BodyText"/>
        <w:ind w:left="120" w:right="875"/>
      </w:pPr>
      <w:bookmarkStart w:name="_bookmark2" w:id="8"/>
      <w:bookmarkEnd w:id="8"/>
      <w:r>
        <w:rPr/>
      </w:r>
      <w:r>
        <w:rPr/>
        <w:t>Figure</w:t>
      </w:r>
      <w:r>
        <w:rPr>
          <w:spacing w:val="-3"/>
        </w:rPr>
        <w:t> </w:t>
      </w:r>
      <w:r>
        <w:rPr/>
        <w:t>1.</w:t>
      </w:r>
      <w:r>
        <w:rPr>
          <w:spacing w:val="-3"/>
        </w:rPr>
        <w:t> </w:t>
      </w:r>
      <w:r>
        <w:rPr/>
        <w:t>Estimated</w:t>
      </w:r>
      <w:r>
        <w:rPr>
          <w:spacing w:val="-3"/>
        </w:rPr>
        <w:t> </w:t>
      </w:r>
      <w:r>
        <w:rPr/>
        <w:t>recruitment</w:t>
      </w:r>
      <w:r>
        <w:rPr>
          <w:spacing w:val="-3"/>
        </w:rPr>
        <w:t> </w:t>
      </w:r>
      <w:r>
        <w:rPr/>
        <w:t>from</w:t>
      </w:r>
      <w:r>
        <w:rPr>
          <w:spacing w:val="-4"/>
        </w:rPr>
        <w:t> </w:t>
      </w:r>
      <w:r>
        <w:rPr/>
        <w:t>the</w:t>
      </w:r>
      <w:r>
        <w:rPr>
          <w:spacing w:val="-3"/>
        </w:rPr>
        <w:t> </w:t>
      </w:r>
      <w:r>
        <w:rPr/>
        <w:t>2019</w:t>
      </w:r>
      <w:r>
        <w:rPr>
          <w:spacing w:val="-3"/>
        </w:rPr>
        <w:t> </w:t>
      </w:r>
      <w:r>
        <w:rPr/>
        <w:t>Western</w:t>
      </w:r>
      <w:r>
        <w:rPr>
          <w:spacing w:val="-3"/>
        </w:rPr>
        <w:t> </w:t>
      </w:r>
      <w:r>
        <w:rPr/>
        <w:t>and</w:t>
      </w:r>
      <w:r>
        <w:rPr>
          <w:spacing w:val="-5"/>
        </w:rPr>
        <w:t> </w:t>
      </w:r>
      <w:r>
        <w:rPr/>
        <w:t>Central</w:t>
      </w:r>
      <w:r>
        <w:rPr>
          <w:spacing w:val="-3"/>
        </w:rPr>
        <w:t> </w:t>
      </w:r>
      <w:r>
        <w:rPr/>
        <w:t>North</w:t>
      </w:r>
      <w:r>
        <w:rPr>
          <w:spacing w:val="-3"/>
        </w:rPr>
        <w:t> </w:t>
      </w:r>
      <w:r>
        <w:rPr/>
        <w:t>Pacific</w:t>
      </w:r>
      <w:r>
        <w:rPr>
          <w:spacing w:val="-3"/>
        </w:rPr>
        <w:t> </w:t>
      </w:r>
      <w:r>
        <w:rPr/>
        <w:t>Ocean</w:t>
      </w:r>
      <w:r>
        <w:rPr>
          <w:spacing w:val="-4"/>
        </w:rPr>
        <w:t> </w:t>
      </w:r>
      <w:r>
        <w:rPr/>
        <w:t>striped marlin stock assessment with 80% confidence intervals (solid black line and circles) along with the average recruitment expected under the long-term (dashed green line) and short−term (solid red line) recruitment scenarios.</w:t>
      </w:r>
    </w:p>
    <w:p>
      <w:pPr>
        <w:spacing w:after="0"/>
        <w:sectPr>
          <w:pgSz w:w="12240" w:h="15840"/>
          <w:pgMar w:header="0" w:footer="984" w:top="1440" w:bottom="1180" w:left="1320" w:right="600"/>
        </w:sectPr>
      </w:pPr>
    </w:p>
    <w:p>
      <w:pPr>
        <w:pStyle w:val="BodyText"/>
        <w:ind w:left="120"/>
        <w:rPr>
          <w:sz w:val="20"/>
        </w:rPr>
      </w:pPr>
      <w:r>
        <w:rPr>
          <w:sz w:val="20"/>
        </w:rPr>
        <w:drawing>
          <wp:inline distT="0" distB="0" distL="0" distR="0">
            <wp:extent cx="5562810" cy="4267200"/>
            <wp:effectExtent l="0" t="0" r="0" b="0"/>
            <wp:docPr id="4" name="Image 4" descr="Estimated stock recruitment curve from the 2019 Western and Central North Pacific Ocean striped marlin stock assessment (black solid line) along with the annual recruitment estimates during 1976 to 2011 (green triangles), 2012-2016 (open circles), and 2017−2018 (blue squares). Vertical lines show the estimates of 20% of unfished spawning biomass (dashed blue line) and of spawning biomass to produce maximum sustainable yield (solid red line)."/>
            <wp:cNvGraphicFramePr>
              <a:graphicFrameLocks/>
            </wp:cNvGraphicFramePr>
            <a:graphic>
              <a:graphicData uri="http://schemas.openxmlformats.org/drawingml/2006/picture">
                <pic:pic>
                  <pic:nvPicPr>
                    <pic:cNvPr id="4" name="Image 4" descr="Estimated stock recruitment curve from the 2019 Western and Central North Pacific Ocean striped marlin stock assessment (black solid line) along with the annual recruitment estimates during 1976 to 2011 (green triangles), 2012-2016 (open circles), and 2017−2018 (blue squares). Vertical lines show the estimates of 20% of unfished spawning biomass (dashed blue line) and of spawning biomass to produce maximum sustainable yield (solid red line)."/>
                    <pic:cNvPicPr/>
                  </pic:nvPicPr>
                  <pic:blipFill>
                    <a:blip r:embed="rId9" cstate="print"/>
                    <a:stretch>
                      <a:fillRect/>
                    </a:stretch>
                  </pic:blipFill>
                  <pic:spPr>
                    <a:xfrm>
                      <a:off x="0" y="0"/>
                      <a:ext cx="5562810" cy="4267200"/>
                    </a:xfrm>
                    <a:prstGeom prst="rect">
                      <a:avLst/>
                    </a:prstGeom>
                  </pic:spPr>
                </pic:pic>
              </a:graphicData>
            </a:graphic>
          </wp:inline>
        </w:drawing>
      </w:r>
      <w:r>
        <w:rPr>
          <w:sz w:val="20"/>
        </w:rPr>
      </w:r>
    </w:p>
    <w:p>
      <w:pPr>
        <w:pStyle w:val="BodyText"/>
        <w:spacing w:before="10"/>
        <w:rPr>
          <w:sz w:val="12"/>
        </w:rPr>
      </w:pPr>
    </w:p>
    <w:p>
      <w:pPr>
        <w:pStyle w:val="BodyText"/>
        <w:spacing w:before="90"/>
        <w:ind w:left="120" w:right="875"/>
      </w:pPr>
      <w:bookmarkStart w:name="_bookmark3" w:id="9"/>
      <w:bookmarkEnd w:id="9"/>
      <w:r>
        <w:rPr/>
      </w:r>
      <w:r>
        <w:rPr/>
        <w:t>Figure 2. Estimated stock recruitment curve from the 2019 Western and Central North Pacific Ocean striped marlin stock assessment (black solid line) along with the annual recruitment estimates</w:t>
      </w:r>
      <w:r>
        <w:rPr>
          <w:spacing w:val="-3"/>
        </w:rPr>
        <w:t> </w:t>
      </w:r>
      <w:r>
        <w:rPr/>
        <w:t>during</w:t>
      </w:r>
      <w:r>
        <w:rPr>
          <w:spacing w:val="-3"/>
        </w:rPr>
        <w:t> </w:t>
      </w:r>
      <w:r>
        <w:rPr/>
        <w:t>1976</w:t>
      </w:r>
      <w:r>
        <w:rPr>
          <w:spacing w:val="-3"/>
        </w:rPr>
        <w:t> </w:t>
      </w:r>
      <w:r>
        <w:rPr/>
        <w:t>to</w:t>
      </w:r>
      <w:r>
        <w:rPr>
          <w:spacing w:val="-5"/>
        </w:rPr>
        <w:t> </w:t>
      </w:r>
      <w:r>
        <w:rPr/>
        <w:t>2011</w:t>
      </w:r>
      <w:r>
        <w:rPr>
          <w:spacing w:val="-3"/>
        </w:rPr>
        <w:t> </w:t>
      </w:r>
      <w:r>
        <w:rPr/>
        <w:t>(green</w:t>
      </w:r>
      <w:r>
        <w:rPr>
          <w:spacing w:val="-5"/>
        </w:rPr>
        <w:t> </w:t>
      </w:r>
      <w:r>
        <w:rPr/>
        <w:t>triangles),</w:t>
      </w:r>
      <w:r>
        <w:rPr>
          <w:spacing w:val="-3"/>
        </w:rPr>
        <w:t> </w:t>
      </w:r>
      <w:r>
        <w:rPr/>
        <w:t>2012−2016</w:t>
      </w:r>
      <w:r>
        <w:rPr>
          <w:spacing w:val="-3"/>
        </w:rPr>
        <w:t> </w:t>
      </w:r>
      <w:r>
        <w:rPr/>
        <w:t>(open</w:t>
      </w:r>
      <w:r>
        <w:rPr>
          <w:spacing w:val="-3"/>
        </w:rPr>
        <w:t> </w:t>
      </w:r>
      <w:r>
        <w:rPr/>
        <w:t>circles),</w:t>
      </w:r>
      <w:r>
        <w:rPr>
          <w:spacing w:val="-3"/>
        </w:rPr>
        <w:t> </w:t>
      </w:r>
      <w:r>
        <w:rPr/>
        <w:t>and</w:t>
      </w:r>
      <w:r>
        <w:rPr>
          <w:spacing w:val="-3"/>
        </w:rPr>
        <w:t> </w:t>
      </w:r>
      <w:r>
        <w:rPr/>
        <w:t>2017−2018</w:t>
      </w:r>
      <w:r>
        <w:rPr>
          <w:spacing w:val="-3"/>
        </w:rPr>
        <w:t> </w:t>
      </w:r>
      <w:r>
        <w:rPr/>
        <w:t>(blue squares). Vertical lines show the estimates of 20% of unfished spawning biomass (dashed blue line) and of spawning biomass to produce maximum sustainable yield (solid red line).</w:t>
      </w:r>
    </w:p>
    <w:p>
      <w:pPr>
        <w:spacing w:after="0"/>
        <w:sectPr>
          <w:pgSz w:w="12240" w:h="15840"/>
          <w:pgMar w:header="0" w:footer="984" w:top="1440" w:bottom="1180" w:left="1320" w:right="600"/>
        </w:sectPr>
      </w:pPr>
    </w:p>
    <w:p>
      <w:pPr>
        <w:pStyle w:val="BodyText"/>
        <w:spacing w:before="2"/>
        <w:rPr>
          <w:sz w:val="2"/>
        </w:rPr>
      </w:pPr>
    </w:p>
    <w:p>
      <w:pPr>
        <w:pStyle w:val="BodyText"/>
        <w:ind w:left="195"/>
        <w:rPr>
          <w:sz w:val="20"/>
        </w:rPr>
      </w:pPr>
      <w:r>
        <w:rPr>
          <w:sz w:val="20"/>
        </w:rPr>
        <w:drawing>
          <wp:inline distT="0" distB="0" distL="0" distR="0">
            <wp:extent cx="4676775" cy="3095625"/>
            <wp:effectExtent l="0" t="0" r="0" b="0"/>
            <wp:docPr id="5" name="Image 5" descr="Estimated autocorrelation function (ACF) for the time series of standardized recruitment residuals (Std_Resid_R) during 1975-2017. The results indicate significant autocorrelations at lags of 1, 5, and 6 years (dashed lines indicate ± 2 standard errors for the estimated ACF values)."/>
            <wp:cNvGraphicFramePr>
              <a:graphicFrameLocks/>
            </wp:cNvGraphicFramePr>
            <a:graphic>
              <a:graphicData uri="http://schemas.openxmlformats.org/drawingml/2006/picture">
                <pic:pic>
                  <pic:nvPicPr>
                    <pic:cNvPr id="5" name="Image 5" descr="Estimated autocorrelation function (ACF) for the time series of standardized recruitment residuals (Std_Resid_R) during 1975-2017. The results indicate significant autocorrelations at lags of 1, 5, and 6 years (dashed lines indicate ± 2 standard errors for the estimated ACF values)."/>
                    <pic:cNvPicPr/>
                  </pic:nvPicPr>
                  <pic:blipFill>
                    <a:blip r:embed="rId10" cstate="print"/>
                    <a:stretch>
                      <a:fillRect/>
                    </a:stretch>
                  </pic:blipFill>
                  <pic:spPr>
                    <a:xfrm>
                      <a:off x="0" y="0"/>
                      <a:ext cx="4676775" cy="3095625"/>
                    </a:xfrm>
                    <a:prstGeom prst="rect">
                      <a:avLst/>
                    </a:prstGeom>
                  </pic:spPr>
                </pic:pic>
              </a:graphicData>
            </a:graphic>
          </wp:inline>
        </w:drawing>
      </w:r>
      <w:r>
        <w:rPr>
          <w:sz w:val="20"/>
        </w:rPr>
      </w:r>
    </w:p>
    <w:p>
      <w:pPr>
        <w:pStyle w:val="BodyText"/>
        <w:rPr>
          <w:sz w:val="20"/>
        </w:rPr>
      </w:pPr>
    </w:p>
    <w:p>
      <w:pPr>
        <w:pStyle w:val="BodyText"/>
        <w:spacing w:before="6"/>
        <w:rPr>
          <w:sz w:val="21"/>
        </w:rPr>
      </w:pPr>
    </w:p>
    <w:p>
      <w:pPr>
        <w:pStyle w:val="BodyText"/>
        <w:spacing w:before="90"/>
        <w:ind w:left="119" w:right="875"/>
      </w:pPr>
      <w:bookmarkStart w:name="_bookmark4" w:id="10"/>
      <w:bookmarkEnd w:id="10"/>
      <w:r>
        <w:rPr/>
      </w:r>
      <w:r>
        <w:rPr/>
        <w:t>Figure 3. Estimated autocorrelation function (ACF) for the time series of standardized recruitment residuals (Std_Resid_R) during 1975−2017. The results indicate significant autocorrelations</w:t>
      </w:r>
      <w:r>
        <w:rPr>
          <w:spacing w:val="-2"/>
        </w:rPr>
        <w:t> </w:t>
      </w:r>
      <w:r>
        <w:rPr/>
        <w:t>at</w:t>
      </w:r>
      <w:r>
        <w:rPr>
          <w:spacing w:val="-2"/>
        </w:rPr>
        <w:t> </w:t>
      </w:r>
      <w:r>
        <w:rPr/>
        <w:t>lags</w:t>
      </w:r>
      <w:r>
        <w:rPr>
          <w:spacing w:val="-2"/>
        </w:rPr>
        <w:t> </w:t>
      </w:r>
      <w:r>
        <w:rPr/>
        <w:t>of</w:t>
      </w:r>
      <w:r>
        <w:rPr>
          <w:spacing w:val="-3"/>
        </w:rPr>
        <w:t> </w:t>
      </w:r>
      <w:r>
        <w:rPr/>
        <w:t>1,</w:t>
      </w:r>
      <w:r>
        <w:rPr>
          <w:spacing w:val="-2"/>
        </w:rPr>
        <w:t> </w:t>
      </w:r>
      <w:r>
        <w:rPr/>
        <w:t>5,</w:t>
      </w:r>
      <w:r>
        <w:rPr>
          <w:spacing w:val="-2"/>
        </w:rPr>
        <w:t> </w:t>
      </w:r>
      <w:r>
        <w:rPr/>
        <w:t>and</w:t>
      </w:r>
      <w:r>
        <w:rPr>
          <w:spacing w:val="-2"/>
        </w:rPr>
        <w:t> </w:t>
      </w:r>
      <w:r>
        <w:rPr/>
        <w:t>6</w:t>
      </w:r>
      <w:r>
        <w:rPr>
          <w:spacing w:val="-2"/>
        </w:rPr>
        <w:t> </w:t>
      </w:r>
      <w:r>
        <w:rPr/>
        <w:t>years</w:t>
      </w:r>
      <w:r>
        <w:rPr>
          <w:spacing w:val="-2"/>
        </w:rPr>
        <w:t> </w:t>
      </w:r>
      <w:r>
        <w:rPr/>
        <w:t>(dashed</w:t>
      </w:r>
      <w:r>
        <w:rPr>
          <w:spacing w:val="-2"/>
        </w:rPr>
        <w:t> </w:t>
      </w:r>
      <w:r>
        <w:rPr/>
        <w:t>lines</w:t>
      </w:r>
      <w:r>
        <w:rPr>
          <w:spacing w:val="-3"/>
        </w:rPr>
        <w:t> </w:t>
      </w:r>
      <w:r>
        <w:rPr/>
        <w:t>indicate</w:t>
      </w:r>
      <w:r>
        <w:rPr>
          <w:spacing w:val="-2"/>
        </w:rPr>
        <w:t> </w:t>
      </w:r>
      <w:r>
        <w:rPr/>
        <w:t>±</w:t>
      </w:r>
      <w:r>
        <w:rPr>
          <w:spacing w:val="-2"/>
        </w:rPr>
        <w:t> </w:t>
      </w:r>
      <w:r>
        <w:rPr/>
        <w:t>2</w:t>
      </w:r>
      <w:r>
        <w:rPr>
          <w:spacing w:val="-2"/>
        </w:rPr>
        <w:t> </w:t>
      </w:r>
      <w:r>
        <w:rPr/>
        <w:t>standard</w:t>
      </w:r>
      <w:r>
        <w:rPr>
          <w:spacing w:val="-2"/>
        </w:rPr>
        <w:t> </w:t>
      </w:r>
      <w:r>
        <w:rPr/>
        <w:t>errors</w:t>
      </w:r>
      <w:r>
        <w:rPr>
          <w:spacing w:val="-2"/>
        </w:rPr>
        <w:t> </w:t>
      </w:r>
      <w:r>
        <w:rPr/>
        <w:t>for</w:t>
      </w:r>
      <w:r>
        <w:rPr>
          <w:spacing w:val="-2"/>
        </w:rPr>
        <w:t> </w:t>
      </w:r>
      <w:r>
        <w:rPr/>
        <w:t>the estimated ACF values).</w:t>
      </w:r>
    </w:p>
    <w:sectPr>
      <w:pgSz w:w="12240" w:h="15840"/>
      <w:pgMar w:header="0" w:footer="984" w:top="1820" w:bottom="1180" w:left="13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432192">
              <wp:simplePos x="0" y="0"/>
              <wp:positionH relativeFrom="page">
                <wp:posOffset>6756654</wp:posOffset>
              </wp:positionH>
              <wp:positionV relativeFrom="page">
                <wp:posOffset>9293745</wp:posOffset>
              </wp:positionV>
              <wp:extent cx="153035" cy="1663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3035" cy="166370"/>
                      </a:xfrm>
                      <a:prstGeom prst="rect">
                        <a:avLst/>
                      </a:prstGeom>
                    </wps:spPr>
                    <wps:txbx>
                      <w:txbxContent>
                        <w:p>
                          <w:pPr>
                            <w:spacing w:before="12"/>
                            <w:ind w:left="60" w:right="0" w:firstLine="0"/>
                            <w:jc w:val="left"/>
                            <w:rPr>
                              <w:sz w:val="20"/>
                            </w:rPr>
                          </w:pPr>
                          <w:r>
                            <w:rPr>
                              <w:w w:val="100"/>
                              <w:sz w:val="20"/>
                            </w:rPr>
                            <w:fldChar w:fldCharType="begin"/>
                          </w:r>
                          <w:r>
                            <w:rPr>
                              <w:w w:val="100"/>
                              <w:sz w:val="20"/>
                            </w:rPr>
                            <w:instrText> PAGE </w:instrText>
                          </w:r>
                          <w:r>
                            <w:rPr>
                              <w:w w:val="100"/>
                              <w:sz w:val="20"/>
                            </w:rPr>
                            <w:fldChar w:fldCharType="separate"/>
                          </w:r>
                          <w:r>
                            <w:rPr>
                              <w:w w:val="100"/>
                              <w:sz w:val="20"/>
                            </w:rPr>
                            <w:t>2</w:t>
                          </w:r>
                          <w:r>
                            <w:rPr>
                              <w:w w:val="100"/>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020020pt;margin-top:731.791016pt;width:12.05pt;height:13.1pt;mso-position-horizontal-relative:page;mso-position-vertical-relative:page;z-index:-15884288" type="#_x0000_t202" id="docshape1" filled="false" stroked="false">
              <v:textbox inset="0,0,0,0">
                <w:txbxContent>
                  <w:p>
                    <w:pPr>
                      <w:spacing w:before="12"/>
                      <w:ind w:left="60" w:right="0" w:firstLine="0"/>
                      <w:jc w:val="left"/>
                      <w:rPr>
                        <w:sz w:val="20"/>
                      </w:rPr>
                    </w:pPr>
                    <w:r>
                      <w:rPr>
                        <w:w w:val="100"/>
                        <w:sz w:val="20"/>
                      </w:rPr>
                      <w:fldChar w:fldCharType="begin"/>
                    </w:r>
                    <w:r>
                      <w:rPr>
                        <w:w w:val="100"/>
                        <w:sz w:val="20"/>
                      </w:rPr>
                      <w:instrText> PAGE </w:instrText>
                    </w:r>
                    <w:r>
                      <w:rPr>
                        <w:w w:val="100"/>
                        <w:sz w:val="20"/>
                      </w:rPr>
                      <w:fldChar w:fldCharType="separate"/>
                    </w:r>
                    <w:r>
                      <w:rPr>
                        <w:w w:val="100"/>
                        <w:sz w:val="20"/>
                      </w:rPr>
                      <w:t>2</w:t>
                    </w:r>
                    <w:r>
                      <w:rPr>
                        <w:w w:val="100"/>
                        <w:sz w:val="20"/>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12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8" w:line="188" w:lineRule="exac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on.Brodziak@NOAA.GOV" TargetMode="External"/><Relationship Id="rId6" Type="http://schemas.openxmlformats.org/officeDocument/2006/relationships/hyperlink" Target="mailto:Michelle.Sculley@NOAA.GOV" TargetMode="Externa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Brodziak;Michelle Sculley</dc:creator>
  <dc:title>Which recruitment scenario is most likely for conducting future stock projections of Western and Central North Pacific Ocean striped marlin?</dc:title>
  <dcterms:created xsi:type="dcterms:W3CDTF">2023-12-08T05:59:52Z</dcterms:created>
  <dcterms:modified xsi:type="dcterms:W3CDTF">2023-12-08T05:59:52Z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Acrobat PDFMaker 17 for Word</vt:lpwstr>
  </property>
  <property fmtid="{D5CDD505-2E9C-101B-9397-08002B2CF9AE}" pid="4" name="LastSaved">
    <vt:filetime>2023-12-08T00:00:00Z</vt:filetime>
  </property>
  <property fmtid="{D5CDD505-2E9C-101B-9397-08002B2CF9AE}" pid="5" name="Producer">
    <vt:lpwstr>Adobe PDF Library 15.0</vt:lpwstr>
  </property>
  <property fmtid="{D5CDD505-2E9C-101B-9397-08002B2CF9AE}" pid="6" name="SourceModified">
    <vt:lpwstr>D:20200429202105</vt:lpwstr>
  </property>
</Properties>
</file>