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DBB90B" w14:textId="77777777" w:rsidR="003C1631" w:rsidRDefault="003C1631" w:rsidP="003C1631">
      <w:pPr>
        <w:pStyle w:val="NormalWeb"/>
        <w:spacing w:before="240" w:beforeAutospacing="0" w:after="240" w:afterAutospacing="0"/>
      </w:pPr>
      <w:r>
        <w:rPr>
          <w:b/>
          <w:bCs/>
          <w:color w:val="000000"/>
          <w:sz w:val="48"/>
          <w:szCs w:val="48"/>
        </w:rPr>
        <w:t xml:space="preserve">Deep7 </w:t>
      </w:r>
      <w:proofErr w:type="spellStart"/>
      <w:r>
        <w:rPr>
          <w:b/>
          <w:bCs/>
          <w:color w:val="000000"/>
          <w:sz w:val="48"/>
          <w:szCs w:val="48"/>
        </w:rPr>
        <w:t>Bottomfish</w:t>
      </w:r>
      <w:proofErr w:type="spellEnd"/>
      <w:r>
        <w:rPr>
          <w:b/>
          <w:bCs/>
          <w:color w:val="000000"/>
          <w:sz w:val="48"/>
          <w:szCs w:val="48"/>
        </w:rPr>
        <w:t xml:space="preserve"> Catch Estimation Tool: Summary Report</w:t>
      </w:r>
    </w:p>
    <w:p w14:paraId="59568C13" w14:textId="77777777" w:rsidR="003C1631" w:rsidRDefault="003C1631" w:rsidP="003C1631">
      <w:pPr>
        <w:pStyle w:val="NormalWeb"/>
        <w:spacing w:before="240" w:beforeAutospacing="0" w:after="240" w:afterAutospacing="0"/>
      </w:pPr>
      <w:r>
        <w:rPr>
          <w:b/>
          <w:bCs/>
          <w:color w:val="000000"/>
          <w:sz w:val="36"/>
          <w:szCs w:val="36"/>
        </w:rPr>
        <w:t>1.</w:t>
      </w:r>
      <w:r>
        <w:rPr>
          <w:color w:val="000000"/>
          <w:sz w:val="14"/>
          <w:szCs w:val="14"/>
        </w:rPr>
        <w:t xml:space="preserve">   </w:t>
      </w:r>
      <w:r>
        <w:rPr>
          <w:b/>
          <w:bCs/>
          <w:color w:val="000000"/>
          <w:sz w:val="36"/>
          <w:szCs w:val="36"/>
        </w:rPr>
        <w:t>Executive Summary</w:t>
      </w:r>
    </w:p>
    <w:p w14:paraId="68488DC4" w14:textId="2306BA6C" w:rsidR="003C1631" w:rsidRDefault="003C1631" w:rsidP="003C1631">
      <w:pPr>
        <w:pStyle w:val="NormalWeb"/>
        <w:spacing w:before="240" w:beforeAutospacing="0" w:after="240" w:afterAutospacing="0"/>
      </w:pPr>
      <w:r>
        <w:rPr>
          <w:color w:val="000000"/>
        </w:rPr>
        <w:t xml:space="preserve">This report introduces an interactive decision-support tool designed to foster trust between fisheries scientists and fishing communities by transforming how scientific methods and results are shared. Traditional fisheries workshops created significant knowledge gaps and trust deficits through one-way information transfer that kept scientific methodologies opaque to stakeholders who would be affected by management decisions. The web-based tool integrates </w:t>
      </w:r>
      <w:proofErr w:type="spellStart"/>
      <w:r>
        <w:rPr>
          <w:color w:val="000000"/>
        </w:rPr>
        <w:t>Bottomfish</w:t>
      </w:r>
      <w:proofErr w:type="spellEnd"/>
      <w:r>
        <w:rPr>
          <w:color w:val="000000"/>
        </w:rPr>
        <w:t xml:space="preserve"> Vessel Registry (BFVR) and Fisher Reporting System (FRS) data through an accessible R </w:t>
      </w:r>
      <w:r w:rsidR="006E0FBA" w:rsidRPr="006E0FBA">
        <w:rPr>
          <w:i/>
          <w:iCs/>
          <w:color w:val="000000"/>
        </w:rPr>
        <w:t>s</w:t>
      </w:r>
      <w:r w:rsidRPr="006E0FBA">
        <w:rPr>
          <w:i/>
          <w:iCs/>
          <w:color w:val="000000"/>
        </w:rPr>
        <w:t>hiny</w:t>
      </w:r>
      <w:r>
        <w:rPr>
          <w:color w:val="000000"/>
        </w:rPr>
        <w:t xml:space="preserve"> interface that requires no technical expertise to operate. Users can adjust </w:t>
      </w:r>
      <w:r w:rsidR="006E0FBA">
        <w:rPr>
          <w:color w:val="000000"/>
        </w:rPr>
        <w:t xml:space="preserve">inputs for </w:t>
      </w:r>
      <w:r>
        <w:rPr>
          <w:color w:val="000000"/>
        </w:rPr>
        <w:t>three key categories to explore how different scenarios affect annual catch estimates and Annual Catch Limits (ACL) across fishing sectors. Developed through extensive collaboration with fishing communities, the tool achieved two critical objectives: incorporating local knowledge from active fishers to improve estimation accuracy, and providing transparent, real-time demonstration of how assumptions translate into management outcomes. This work represents a paradigm shift from traditional fisheries science communication to collaborative decision-making, providing a model that could be adapted for other data-limited fisheries facing similar challenges with stakeholder engagement and non-commercial catch estimation. The open-source tool remains publicly accessible, ensuring continued utility for fisheries scientists, managers, and fishing communities.</w:t>
      </w:r>
    </w:p>
    <w:p w14:paraId="42738260" w14:textId="77777777" w:rsidR="003C1631" w:rsidRDefault="003C1631" w:rsidP="003C1631">
      <w:pPr>
        <w:pStyle w:val="NormalWeb"/>
        <w:spacing w:before="240" w:beforeAutospacing="0" w:after="240" w:afterAutospacing="0"/>
      </w:pPr>
      <w:r>
        <w:rPr>
          <w:b/>
          <w:bCs/>
          <w:color w:val="000000"/>
          <w:sz w:val="36"/>
          <w:szCs w:val="36"/>
        </w:rPr>
        <w:t>2. Background and Context</w:t>
      </w:r>
    </w:p>
    <w:p w14:paraId="645D8579" w14:textId="75E68049" w:rsidR="003C1631" w:rsidRDefault="003C1631" w:rsidP="003C1631">
      <w:pPr>
        <w:pStyle w:val="NormalWeb"/>
        <w:spacing w:before="240" w:beforeAutospacing="0" w:after="240" w:afterAutospacing="0"/>
      </w:pPr>
      <w:r>
        <w:rPr>
          <w:color w:val="000000"/>
        </w:rPr>
        <w:t>The traditional approach to fisheries data collection and methodology communication created significant knowledge gaps and trust deficits between constituents and scientists that necessitated a new, interactive approach.</w:t>
      </w:r>
      <w:r>
        <w:rPr>
          <w:rFonts w:ascii="Arial" w:hAnsi="Arial" w:cs="Arial"/>
          <w:color w:val="000000"/>
        </w:rPr>
        <w:t xml:space="preserve"> </w:t>
      </w:r>
      <w:r>
        <w:rPr>
          <w:color w:val="000000"/>
        </w:rPr>
        <w:t xml:space="preserve">Previous data workshops with commercial fishers have yielded valuable insights into various topics. </w:t>
      </w:r>
      <w:r w:rsidR="00F6097A">
        <w:rPr>
          <w:color w:val="000000"/>
        </w:rPr>
        <w:t>And w</w:t>
      </w:r>
      <w:r>
        <w:rPr>
          <w:color w:val="000000"/>
        </w:rPr>
        <w:t>hile these workshops have been beneficial for scientists in gathering information from fishers, the explanation of methodologies and the potential impact of results on the</w:t>
      </w:r>
      <w:r w:rsidR="00F6097A">
        <w:rPr>
          <w:color w:val="000000"/>
        </w:rPr>
        <w:t xml:space="preserve"> fishers’</w:t>
      </w:r>
      <w:r>
        <w:rPr>
          <w:color w:val="000000"/>
        </w:rPr>
        <w:t xml:space="preserve"> livelihoods has been insufficient. The workshops typically spanned several days, involving a large group of fishers and facilitated by scientists presenting highly technical topics via slideshows. This communication method proved ineffective for </w:t>
      </w:r>
      <w:r w:rsidR="00F6097A">
        <w:rPr>
          <w:color w:val="000000"/>
        </w:rPr>
        <w:t xml:space="preserve">that </w:t>
      </w:r>
      <w:r>
        <w:rPr>
          <w:color w:val="000000"/>
        </w:rPr>
        <w:t xml:space="preserve">audience, contributing to a lack of transparency </w:t>
      </w:r>
      <w:r w:rsidR="00F6097A">
        <w:rPr>
          <w:color w:val="000000"/>
        </w:rPr>
        <w:t xml:space="preserve">and trust </w:t>
      </w:r>
      <w:r>
        <w:rPr>
          <w:color w:val="000000"/>
        </w:rPr>
        <w:t>regarding our work.</w:t>
      </w:r>
    </w:p>
    <w:p w14:paraId="72D662AC" w14:textId="063D238F" w:rsidR="003C1631" w:rsidRDefault="003C1631" w:rsidP="003C1631">
      <w:pPr>
        <w:pStyle w:val="NormalWeb"/>
        <w:spacing w:before="240" w:beforeAutospacing="0" w:after="240" w:afterAutospacing="0"/>
      </w:pPr>
      <w:r>
        <w:rPr>
          <w:color w:val="000000"/>
        </w:rPr>
        <w:t>In order to be as transparent as possible and build confidence from the fishers in the new methodology</w:t>
      </w:r>
      <w:r w:rsidR="00F6097A">
        <w:rPr>
          <w:color w:val="000000"/>
        </w:rPr>
        <w:t xml:space="preserve"> for estimating non-commercial catch</w:t>
      </w:r>
      <w:r>
        <w:rPr>
          <w:color w:val="000000"/>
        </w:rPr>
        <w:t>, we wanted to take a novel approach for how we share</w:t>
      </w:r>
      <w:r w:rsidR="00F6097A">
        <w:rPr>
          <w:color w:val="000000"/>
        </w:rPr>
        <w:t>d</w:t>
      </w:r>
      <w:r>
        <w:rPr>
          <w:color w:val="000000"/>
        </w:rPr>
        <w:t xml:space="preserve"> </w:t>
      </w:r>
      <w:r w:rsidR="00F6097A">
        <w:rPr>
          <w:color w:val="000000"/>
        </w:rPr>
        <w:t>our work</w:t>
      </w:r>
      <w:r>
        <w:rPr>
          <w:color w:val="000000"/>
        </w:rPr>
        <w:t xml:space="preserve"> and</w:t>
      </w:r>
      <w:r w:rsidR="00F6097A">
        <w:rPr>
          <w:color w:val="000000"/>
        </w:rPr>
        <w:t xml:space="preserve"> </w:t>
      </w:r>
      <w:r>
        <w:rPr>
          <w:color w:val="000000"/>
        </w:rPr>
        <w:t>results. Our aim was to develop an interactive tool capable of performing real-time analysis based on user inputs and promptly displaying key metrics. These metrics include annual non-commercial catch estimates, annual total catch estimates, and the impact on the Annual Catch Limit (ACL) for the fishery, separated by sector.</w:t>
      </w:r>
    </w:p>
    <w:p w14:paraId="25945A05" w14:textId="77777777" w:rsidR="003C1631" w:rsidRDefault="003C1631" w:rsidP="003C1631">
      <w:pPr>
        <w:pStyle w:val="NormalWeb"/>
        <w:spacing w:before="240" w:beforeAutospacing="0" w:after="240" w:afterAutospacing="0"/>
      </w:pPr>
      <w:r>
        <w:rPr>
          <w:color w:val="000000"/>
        </w:rPr>
        <w:lastRenderedPageBreak/>
        <w:t>A crucial requirement of the tool was that we wanted to be able to use it to incorporate input from the fishers directly into the analysis. As outlined in the previous section of this report, there are several key decision points that are crucial to characterizing the non-commercial fishery as accurately as possible. However, these decision points are often impossible to get a true value for, for example the number of people fishing for Deep 7 that have not registered their boat. In order to best characterize the “true” non-commercial Deep 7 fishery, we needed insight from active participants in the fishery.</w:t>
      </w:r>
    </w:p>
    <w:p w14:paraId="474E3D45" w14:textId="77777777" w:rsidR="003C1631" w:rsidRDefault="003C1631" w:rsidP="003C1631">
      <w:pPr>
        <w:pStyle w:val="NormalWeb"/>
        <w:spacing w:before="240" w:beforeAutospacing="0" w:after="240" w:afterAutospacing="0"/>
      </w:pPr>
      <w:r>
        <w:rPr>
          <w:color w:val="000000"/>
        </w:rPr>
        <w:t>Additionally, the tool needed to be accessible to all users, specifically requiring no coding knowledge or specialized software. For instance, executing an R script with hundreds of lines of code is no more intuitive than presenting equations on a slide. Our aim was to develop a tool that would empower anyone in the fishing community to independently adjust inputs, test assumptions, and observe the actual impact on the ACL.</w:t>
      </w:r>
    </w:p>
    <w:p w14:paraId="1F915689" w14:textId="77777777" w:rsidR="003C1631" w:rsidRDefault="003C1631" w:rsidP="003C1631">
      <w:pPr>
        <w:pStyle w:val="NormalWeb"/>
        <w:spacing w:before="240" w:beforeAutospacing="0" w:after="240" w:afterAutospacing="0"/>
      </w:pPr>
      <w:r>
        <w:rPr>
          <w:color w:val="000000"/>
        </w:rPr>
        <w:t>The tool was designed to serve two distinct user communities, each with specific needs for understanding catch estimation impacts on fisheries management.</w:t>
      </w:r>
      <w:r>
        <w:rPr>
          <w:color w:val="000000"/>
          <w:sz w:val="28"/>
          <w:szCs w:val="28"/>
        </w:rPr>
        <w:t xml:space="preserve"> </w:t>
      </w:r>
      <w:r>
        <w:rPr>
          <w:color w:val="000000"/>
        </w:rPr>
        <w:t>The primary target audience for the tool was the Deep 7 fishers participating in our fisher engagement meetings. For them, we wanted the tool to be user-friendly, ask clear, direct questions, have inputs that were intuitive and realistic, and to show only key information related to catch estimates for different fishing sectors and the impacts on ACL. A secondary target audience were regional fisheries managers. Given the significant shift in catch estimation methodology, regional managers will be interested in understanding how catch advice is calculated. Specifically, they will want to compare the new catch estimates to previous ones, and see the resulting impact on the Acceptable Catch Limit (ACL).</w:t>
      </w:r>
    </w:p>
    <w:p w14:paraId="25B190C6" w14:textId="77777777" w:rsidR="003C1631" w:rsidRDefault="003C1631" w:rsidP="003C1631">
      <w:pPr>
        <w:pStyle w:val="NormalWeb"/>
        <w:spacing w:before="240" w:beforeAutospacing="0" w:after="240" w:afterAutospacing="0"/>
      </w:pPr>
      <w:r>
        <w:rPr>
          <w:color w:val="000000"/>
        </w:rPr>
        <w:t>Here we introduce an interactive tool to estimate non-commercial catch for Deep 7 species in the main Hawaiian Islands that can be used by fisheries scientists, managers, and fishers.</w:t>
      </w:r>
    </w:p>
    <w:p w14:paraId="280BCEF4" w14:textId="77777777" w:rsidR="003C1631" w:rsidRDefault="003C1631" w:rsidP="003C1631">
      <w:pPr>
        <w:pStyle w:val="NormalWeb"/>
        <w:spacing w:before="240" w:beforeAutospacing="0" w:after="240" w:afterAutospacing="0"/>
      </w:pPr>
      <w:r>
        <w:rPr>
          <w:b/>
          <w:bCs/>
          <w:color w:val="000000"/>
          <w:sz w:val="36"/>
          <w:szCs w:val="36"/>
        </w:rPr>
        <w:t>3. App Overview and Architecture</w:t>
      </w:r>
    </w:p>
    <w:p w14:paraId="680F2401" w14:textId="77777777" w:rsidR="003C1631" w:rsidRDefault="003C1631" w:rsidP="003C1631">
      <w:pPr>
        <w:pStyle w:val="NormalWeb"/>
        <w:spacing w:before="240" w:beforeAutospacing="0" w:after="240" w:afterAutospacing="0"/>
        <w:ind w:left="360"/>
      </w:pPr>
      <w:r>
        <w:rPr>
          <w:b/>
          <w:bCs/>
          <w:color w:val="000000"/>
          <w:sz w:val="27"/>
          <w:szCs w:val="27"/>
        </w:rPr>
        <w:t>3.1</w:t>
      </w:r>
      <w:r>
        <w:rPr>
          <w:color w:val="000000"/>
          <w:sz w:val="14"/>
          <w:szCs w:val="14"/>
        </w:rPr>
        <w:t xml:space="preserve"> </w:t>
      </w:r>
      <w:r>
        <w:rPr>
          <w:b/>
          <w:bCs/>
          <w:color w:val="000000"/>
          <w:sz w:val="27"/>
          <w:szCs w:val="27"/>
        </w:rPr>
        <w:t>Technical Framework</w:t>
      </w:r>
    </w:p>
    <w:p w14:paraId="27E53180" w14:textId="77777777" w:rsidR="003C1631" w:rsidRDefault="003C1631" w:rsidP="003C1631">
      <w:pPr>
        <w:pStyle w:val="NormalWeb"/>
        <w:spacing w:before="240" w:beforeAutospacing="0" w:after="240" w:afterAutospacing="0"/>
      </w:pPr>
      <w:r>
        <w:rPr>
          <w:color w:val="000000"/>
        </w:rPr>
        <w:t xml:space="preserve">The decision-support tool leverages the R package </w:t>
      </w:r>
      <w:r>
        <w:rPr>
          <w:i/>
          <w:iCs/>
          <w:color w:val="000000"/>
        </w:rPr>
        <w:t>shiny</w:t>
      </w:r>
      <w:r>
        <w:rPr>
          <w:color w:val="000000"/>
        </w:rPr>
        <w:t xml:space="preserve"> (version 1.11.1) and is hosted on NMFS Posit Connect server to provide accessible, real-time analysis capabilities without requiring technical expertise from users.</w:t>
      </w:r>
      <w:r>
        <w:rPr>
          <w:color w:val="000000"/>
          <w:sz w:val="28"/>
          <w:szCs w:val="28"/>
        </w:rPr>
        <w:t xml:space="preserve"> </w:t>
      </w:r>
      <w:r>
        <w:rPr>
          <w:color w:val="000000"/>
        </w:rPr>
        <w:t xml:space="preserve">The benefit of hosting the tool on NMFS Posit Connect server is that anyone can access the tool and the script-based code runs without the user needing to have an R session running on their computer, Posit Connect provides the server connection. We chose to use </w:t>
      </w:r>
      <w:r>
        <w:rPr>
          <w:i/>
          <w:iCs/>
          <w:color w:val="000000"/>
        </w:rPr>
        <w:t>shiny</w:t>
      </w:r>
      <w:r>
        <w:rPr>
          <w:color w:val="000000"/>
        </w:rPr>
        <w:t xml:space="preserve"> to build the decision-support tool because it allows users to interact with code and run analyses in a way where the user doesn’t need any coding knowledge to run the calculations; everything happens on the backend but is displayed in a user-friendly interface. The full code for the decision-support tool can be found on the</w:t>
      </w:r>
      <w:hyperlink r:id="rId5" w:history="1">
        <w:r>
          <w:rPr>
            <w:rStyle w:val="Hyperlink"/>
            <w:color w:val="000000"/>
          </w:rPr>
          <w:t xml:space="preserve"> </w:t>
        </w:r>
        <w:r>
          <w:rPr>
            <w:rStyle w:val="Hyperlink"/>
            <w:color w:val="1155CC"/>
          </w:rPr>
          <w:t>GitHub repository</w:t>
        </w:r>
      </w:hyperlink>
      <w:r>
        <w:rPr>
          <w:color w:val="000000"/>
        </w:rPr>
        <w:t>. </w:t>
      </w:r>
    </w:p>
    <w:p w14:paraId="1EA8CE00" w14:textId="77777777" w:rsidR="003C1631" w:rsidRDefault="003C1631" w:rsidP="003C1631">
      <w:pPr>
        <w:pStyle w:val="NormalWeb"/>
        <w:spacing w:before="240" w:beforeAutospacing="0" w:after="240" w:afterAutospacing="0"/>
        <w:ind w:left="360"/>
      </w:pPr>
      <w:r>
        <w:rPr>
          <w:b/>
          <w:bCs/>
          <w:color w:val="000000"/>
          <w:sz w:val="27"/>
          <w:szCs w:val="27"/>
        </w:rPr>
        <w:t>3.2</w:t>
      </w:r>
      <w:r>
        <w:rPr>
          <w:color w:val="000000"/>
          <w:sz w:val="14"/>
          <w:szCs w:val="14"/>
        </w:rPr>
        <w:t xml:space="preserve"> </w:t>
      </w:r>
      <w:r>
        <w:rPr>
          <w:b/>
          <w:bCs/>
          <w:color w:val="000000"/>
          <w:sz w:val="27"/>
          <w:szCs w:val="27"/>
        </w:rPr>
        <w:t>User Interface Design</w:t>
      </w:r>
    </w:p>
    <w:p w14:paraId="4CF388F3" w14:textId="77777777" w:rsidR="003C1631" w:rsidRDefault="003C1631" w:rsidP="003C1631">
      <w:pPr>
        <w:pStyle w:val="NormalWeb"/>
        <w:spacing w:before="240" w:beforeAutospacing="0" w:after="240" w:afterAutospacing="0"/>
      </w:pPr>
      <w:r>
        <w:rPr>
          <w:color w:val="000000"/>
        </w:rPr>
        <w:t xml:space="preserve">User-centered design principles guided the development of an intuitive interface that presents complex fisheries data through interactive visualizations. When a user navigates to the decision-support tool, they are directed to a landing page that provides background text of the </w:t>
      </w:r>
      <w:r>
        <w:rPr>
          <w:color w:val="000000"/>
        </w:rPr>
        <w:lastRenderedPageBreak/>
        <w:t xml:space="preserve">methodology, the inputs users can manipulate, and a short “How to Use” guide. On the second page, the user interacts with the tool to run the analysis. In a collapsible sidebar, questions in three main categories have either a slider or select buttons for the user to choose an input value. For clarity and to reduce visual clutter, we decided to make the headings and questions as short as possible but added more detailed explanations that display only when the user hovers over the question. We utilized the reactivity capabilities of </w:t>
      </w:r>
      <w:r>
        <w:rPr>
          <w:i/>
          <w:iCs/>
          <w:color w:val="000000"/>
        </w:rPr>
        <w:t>shiny</w:t>
      </w:r>
      <w:r>
        <w:rPr>
          <w:color w:val="000000"/>
        </w:rPr>
        <w:t xml:space="preserve"> so that when any of the inputs are changed, it triggers the code on the backend to run the calculations and update the plots and tables.</w:t>
      </w:r>
    </w:p>
    <w:p w14:paraId="35D9BFE6" w14:textId="77777777" w:rsidR="003C1631" w:rsidRDefault="003C1631" w:rsidP="003C1631">
      <w:pPr>
        <w:pStyle w:val="NormalWeb"/>
        <w:spacing w:before="240" w:beforeAutospacing="0" w:after="240" w:afterAutospacing="0"/>
      </w:pPr>
      <w:r>
        <w:rPr>
          <w:color w:val="000000"/>
        </w:rPr>
        <w:t xml:space="preserve">All of the plots in the decision-support tool were made using the R package </w:t>
      </w:r>
      <w:proofErr w:type="spellStart"/>
      <w:r>
        <w:rPr>
          <w:i/>
          <w:iCs/>
          <w:color w:val="000000"/>
        </w:rPr>
        <w:t>plotly</w:t>
      </w:r>
      <w:proofErr w:type="spellEnd"/>
      <w:r>
        <w:rPr>
          <w:color w:val="000000"/>
        </w:rPr>
        <w:t xml:space="preserve"> for interactivity. For example, data values are displayed when you hover over a point on a chart and elements of the plot can be displayed or hidden by clicking the element in the legend. </w:t>
      </w:r>
      <w:proofErr w:type="spellStart"/>
      <w:r>
        <w:rPr>
          <w:color w:val="000000"/>
        </w:rPr>
        <w:t>Plotly’s</w:t>
      </w:r>
      <w:proofErr w:type="spellEnd"/>
      <w:r>
        <w:rPr>
          <w:color w:val="000000"/>
        </w:rPr>
        <w:t xml:space="preserve"> capabilities helped us create plots that we could use to narrate a story and build up incrementally by adding elements one-at-a-time. This allowed us to fully explain each element of the plot before adding in a new one, and allowed the users to digest the information in small bits at a time.</w:t>
      </w:r>
    </w:p>
    <w:p w14:paraId="7DA3AA6D" w14:textId="77777777" w:rsidR="003C1631" w:rsidRDefault="003C1631" w:rsidP="003C1631">
      <w:pPr>
        <w:pStyle w:val="NormalWeb"/>
        <w:spacing w:before="240" w:beforeAutospacing="0" w:after="240" w:afterAutospacing="0"/>
      </w:pPr>
      <w:r>
        <w:rPr>
          <w:b/>
          <w:bCs/>
          <w:color w:val="000000"/>
          <w:sz w:val="27"/>
          <w:szCs w:val="27"/>
        </w:rPr>
        <w:t>3.3 Core Functionality</w:t>
      </w:r>
    </w:p>
    <w:p w14:paraId="0ACE0991" w14:textId="77777777" w:rsidR="003C1631" w:rsidRDefault="003C1631" w:rsidP="003C1631">
      <w:pPr>
        <w:pStyle w:val="NormalWeb"/>
        <w:spacing w:before="240" w:beforeAutospacing="0" w:after="240" w:afterAutospacing="0"/>
      </w:pPr>
      <w:r>
        <w:rPr>
          <w:color w:val="000000"/>
        </w:rPr>
        <w:t>The tool's core functionality centers on three key categories that allow users to explore how different assumptions affect catch estimates and management outcomes. By adjusting the inputs for the three categories, users can quickly explore a range of scenarios and get a better understanding on how different estimates of non-commercial catch actually impacts things such as ACL.</w:t>
      </w:r>
    </w:p>
    <w:p w14:paraId="1D51BDCB" w14:textId="77777777" w:rsidR="003C1631" w:rsidRDefault="003C1631" w:rsidP="003C1631">
      <w:pPr>
        <w:pStyle w:val="NormalWeb"/>
        <w:spacing w:before="240" w:beforeAutospacing="0" w:after="240" w:afterAutospacing="0"/>
      </w:pPr>
      <w:r>
        <w:rPr>
          <w:i/>
          <w:iCs/>
          <w:color w:val="000000"/>
        </w:rPr>
        <w:t>Non-commercial Fisher Count Adjustments</w:t>
      </w:r>
    </w:p>
    <w:p w14:paraId="63EADE79" w14:textId="77777777" w:rsidR="003C1631" w:rsidRDefault="003C1631" w:rsidP="003C1631">
      <w:pPr>
        <w:pStyle w:val="NormalWeb"/>
        <w:spacing w:before="240" w:beforeAutospacing="0" w:after="240" w:afterAutospacing="0"/>
      </w:pPr>
      <w:r>
        <w:rPr>
          <w:color w:val="000000"/>
        </w:rPr>
        <w:t>To get the most accurate estimate of the number of BFVR boats that are fishing for Deep 7, we had two adjustable inputs. The first asks for the percentage of boats that are registered on the BFVR and are actually fishing for Deep 7. This is to remove the boats that may register but actually do not target Deep 7 species or are no longer very active in fishing. The second input is the percentage of boats that are catching Deep 7 that are registered on the BFVR. This is to account for any un-registered boats that are on the water fishing.</w:t>
      </w:r>
    </w:p>
    <w:p w14:paraId="4465BDF8" w14:textId="77777777" w:rsidR="003C1631" w:rsidRDefault="003C1631" w:rsidP="003C1631">
      <w:pPr>
        <w:pStyle w:val="NormalWeb"/>
        <w:spacing w:before="240" w:beforeAutospacing="0" w:after="240" w:afterAutospacing="0"/>
      </w:pPr>
      <w:r>
        <w:rPr>
          <w:i/>
          <w:iCs/>
          <w:color w:val="000000"/>
        </w:rPr>
        <w:t>FRS Data Filtering Parameters</w:t>
      </w:r>
    </w:p>
    <w:p w14:paraId="0E35B028" w14:textId="77777777" w:rsidR="003C1631" w:rsidRDefault="003C1631" w:rsidP="003C1631">
      <w:pPr>
        <w:pStyle w:val="NormalWeb"/>
        <w:spacing w:before="240" w:beforeAutospacing="0" w:after="240" w:afterAutospacing="0"/>
      </w:pPr>
      <w:r>
        <w:rPr>
          <w:color w:val="000000"/>
        </w:rPr>
        <w:t xml:space="preserve">In order to characterize the non-commercial catch, we used the FRS catch data as a proxy but wanted to set an upper limit of catch. Particularly since we know the non-commercial fishers do not have the same set of skills, time, and equipment that highliner fishers do and they also have a 10-fish bag limit per person. Because of all of these limitations, it would be unrealistic for non-commercial fishers to catch more than a certain poundage per trip. To get at this, we have three options for an upper cut-off, 50 </w:t>
      </w:r>
      <w:proofErr w:type="spellStart"/>
      <w:r>
        <w:rPr>
          <w:color w:val="000000"/>
        </w:rPr>
        <w:t>lb</w:t>
      </w:r>
      <w:proofErr w:type="spellEnd"/>
      <w:r>
        <w:rPr>
          <w:color w:val="000000"/>
        </w:rPr>
        <w:t xml:space="preserve">/trip, 70 </w:t>
      </w:r>
      <w:proofErr w:type="spellStart"/>
      <w:r>
        <w:rPr>
          <w:color w:val="000000"/>
        </w:rPr>
        <w:t>lb</w:t>
      </w:r>
      <w:proofErr w:type="spellEnd"/>
      <w:r>
        <w:rPr>
          <w:color w:val="000000"/>
        </w:rPr>
        <w:t xml:space="preserve">/trip, and 100 </w:t>
      </w:r>
      <w:proofErr w:type="spellStart"/>
      <w:r>
        <w:rPr>
          <w:color w:val="000000"/>
        </w:rPr>
        <w:t>lb</w:t>
      </w:r>
      <w:proofErr w:type="spellEnd"/>
      <w:r>
        <w:rPr>
          <w:color w:val="000000"/>
        </w:rPr>
        <w:t>/trip. Having the three options to choose from allows the user to look at what the difference would be between the different limits and since fishers often had varying opinions of what the limit should be, we could easily show what impact each limit had on the total non-commercial catch estimate.</w:t>
      </w:r>
    </w:p>
    <w:p w14:paraId="3CB3B8F0" w14:textId="77777777" w:rsidR="003C1631" w:rsidRDefault="003C1631" w:rsidP="003C1631">
      <w:pPr>
        <w:pStyle w:val="NormalWeb"/>
        <w:spacing w:before="240" w:beforeAutospacing="0" w:after="240" w:afterAutospacing="0"/>
      </w:pPr>
      <w:r>
        <w:rPr>
          <w:i/>
          <w:iCs/>
          <w:color w:val="000000"/>
        </w:rPr>
        <w:t>Unreported Catch Adjustments</w:t>
      </w:r>
    </w:p>
    <w:p w14:paraId="55CA90D3" w14:textId="77777777" w:rsidR="003C1631" w:rsidRDefault="003C1631" w:rsidP="003C1631">
      <w:pPr>
        <w:pStyle w:val="NormalWeb"/>
        <w:spacing w:before="240" w:beforeAutospacing="0" w:after="240" w:afterAutospacing="0"/>
      </w:pPr>
      <w:r>
        <w:rPr>
          <w:color w:val="000000"/>
        </w:rPr>
        <w:lastRenderedPageBreak/>
        <w:t>To begin to get at the amount of unreported Deep 7 catch that occurs in the fishery, particularly in the commercial fishery, we also included an input that asks what percentage of the commercial catch is unreported. This percentage is not included in the non-commercial catch estimate but it is included in the total catch estimates. We included this aspect to fully capture the fishing activity within the Deep 7 fishery.</w:t>
      </w:r>
    </w:p>
    <w:p w14:paraId="5722CCFC" w14:textId="77777777" w:rsidR="003C1631" w:rsidRDefault="003C1631" w:rsidP="003C1631">
      <w:pPr>
        <w:pStyle w:val="NormalWeb"/>
        <w:spacing w:before="240" w:beforeAutospacing="0" w:after="240" w:afterAutospacing="0"/>
      </w:pPr>
      <w:r>
        <w:rPr>
          <w:b/>
          <w:bCs/>
          <w:color w:val="000000"/>
          <w:sz w:val="36"/>
          <w:szCs w:val="36"/>
        </w:rPr>
        <w:t>4. Scientific Applications, Limitations, and Implications</w:t>
      </w:r>
    </w:p>
    <w:p w14:paraId="6D1ED3AF" w14:textId="77777777" w:rsidR="003C1631" w:rsidRDefault="003C1631" w:rsidP="003C1631">
      <w:pPr>
        <w:pStyle w:val="NormalWeb"/>
        <w:spacing w:before="240" w:beforeAutospacing="0" w:after="240" w:afterAutospacing="0"/>
      </w:pPr>
      <w:r>
        <w:rPr>
          <w:color w:val="000000"/>
        </w:rPr>
        <w:t>The decision support tool can be used in many ways to support the sustainable management of the Deep 7 fishery while building trust between the scientific and fishing communities. Fisheries scientists can use it to explore alternative assumptions for each component of the non-commercial catch estimates and compare the differences each assumption has on non-commercial and total catch estimates. These explorations can help to narrow down potential catch estimate scenarios that seem realistic and possible, particularly for the non-commercial and unreported catch estimates. The tool also allows for immediate visualization of the catch estimates for the entire Deep 7 complex and by species, which can help to quickly identify if the same assumptions can be reasonably applied across all species and how non-commercial catch trends impact each species differently.</w:t>
      </w:r>
    </w:p>
    <w:p w14:paraId="52ABCF3E" w14:textId="77777777" w:rsidR="003C1631" w:rsidRDefault="003C1631" w:rsidP="003C1631">
      <w:pPr>
        <w:pStyle w:val="NormalWeb"/>
        <w:spacing w:before="240" w:beforeAutospacing="0" w:after="240" w:afterAutospacing="0"/>
      </w:pPr>
      <w:r>
        <w:rPr>
          <w:color w:val="000000"/>
        </w:rPr>
        <w:t>The tool facilitates engagement with fishers by enabling us to solicit their assumptions regarding the non-commercial fishery and integrate them directly into the analysis. Additionally, the tool helps us to reach agreement among many opinions of possible scenarios and account for nuances such as inter-island variability in fishing behavior. While the code behind the tool is not as detailed as the final analysis may be, the tool helps to facilitate discussions that often helped identify certain assumptions that may not hold true across all islands or for all species. These discussions with fishers helped us to refine our methodology and produce the most robust non-commercial catch estimates. Using the tool in meetings with the fishers to show them how we can put their information directly into our analysis and coming to an agreement on the best inputs to use, helped to create a sense of transparency in our work and build trust.</w:t>
      </w:r>
    </w:p>
    <w:p w14:paraId="243A624E" w14:textId="77777777" w:rsidR="003C1631" w:rsidRDefault="003C1631" w:rsidP="003C1631">
      <w:pPr>
        <w:pStyle w:val="NormalWeb"/>
        <w:spacing w:before="240" w:beforeAutospacing="0" w:after="240" w:afterAutospacing="0"/>
      </w:pPr>
      <w:r>
        <w:rPr>
          <w:color w:val="000000"/>
        </w:rPr>
        <w:t>The tool does have some functionality limitations. Currently, we designed it for fishers, and did not want to overcomplicate the inputs and control options. This meant that we had to make some simplifications. For example, in the full estimation, the maximum catch limit can be determined by 99</w:t>
      </w:r>
      <w:r>
        <w:rPr>
          <w:color w:val="000000"/>
          <w:sz w:val="14"/>
          <w:szCs w:val="14"/>
          <w:vertAlign w:val="superscript"/>
        </w:rPr>
        <w:t>th</w:t>
      </w:r>
      <w:r>
        <w:rPr>
          <w:color w:val="000000"/>
        </w:rPr>
        <w:t>, 95</w:t>
      </w:r>
      <w:r>
        <w:rPr>
          <w:color w:val="000000"/>
          <w:sz w:val="14"/>
          <w:szCs w:val="14"/>
          <w:vertAlign w:val="superscript"/>
        </w:rPr>
        <w:t>th</w:t>
      </w:r>
      <w:r>
        <w:rPr>
          <w:color w:val="000000"/>
        </w:rPr>
        <w:t>, or 90</w:t>
      </w:r>
      <w:r>
        <w:rPr>
          <w:color w:val="000000"/>
          <w:sz w:val="14"/>
          <w:szCs w:val="14"/>
          <w:vertAlign w:val="superscript"/>
        </w:rPr>
        <w:t>th</w:t>
      </w:r>
      <w:r>
        <w:rPr>
          <w:color w:val="000000"/>
        </w:rPr>
        <w:t xml:space="preserve"> percentile of FRS catch data. However, because 99</w:t>
      </w:r>
      <w:r>
        <w:rPr>
          <w:color w:val="000000"/>
          <w:sz w:val="14"/>
          <w:szCs w:val="14"/>
          <w:vertAlign w:val="superscript"/>
        </w:rPr>
        <w:t>th</w:t>
      </w:r>
      <w:r>
        <w:rPr>
          <w:color w:val="000000"/>
        </w:rPr>
        <w:t xml:space="preserve"> versus 90</w:t>
      </w:r>
      <w:r>
        <w:rPr>
          <w:color w:val="000000"/>
          <w:sz w:val="14"/>
          <w:szCs w:val="14"/>
          <w:vertAlign w:val="superscript"/>
        </w:rPr>
        <w:t>th</w:t>
      </w:r>
      <w:r>
        <w:rPr>
          <w:color w:val="000000"/>
        </w:rPr>
        <w:t xml:space="preserve"> percentile may not be meaningful to our target audience, we selected pound amounts that were around those quantile values. We did test the simplifications with the full estimation code and found small differences between the two (less than 1,00 </w:t>
      </w:r>
      <w:proofErr w:type="spellStart"/>
      <w:r>
        <w:rPr>
          <w:color w:val="000000"/>
        </w:rPr>
        <w:t>lbs</w:t>
      </w:r>
      <w:proofErr w:type="spellEnd"/>
      <w:r>
        <w:rPr>
          <w:color w:val="000000"/>
        </w:rPr>
        <w:t xml:space="preserve"> per year) and felt that the simplification for clarity was worth the small difference in actual catch estimates.</w:t>
      </w:r>
    </w:p>
    <w:p w14:paraId="6EDA0993" w14:textId="77777777" w:rsidR="003C1631" w:rsidRDefault="003C1631" w:rsidP="003C1631">
      <w:pPr>
        <w:pStyle w:val="NormalWeb"/>
        <w:spacing w:before="240" w:beforeAutospacing="0" w:after="240" w:afterAutospacing="0"/>
      </w:pPr>
      <w:r>
        <w:rPr>
          <w:b/>
          <w:bCs/>
          <w:color w:val="000000"/>
          <w:sz w:val="36"/>
          <w:szCs w:val="36"/>
        </w:rPr>
        <w:t>5. Development Process and User Feedback</w:t>
      </w:r>
    </w:p>
    <w:p w14:paraId="3DAE31EE" w14:textId="77777777" w:rsidR="003C1631" w:rsidRDefault="003C1631" w:rsidP="003C1631">
      <w:pPr>
        <w:pStyle w:val="NormalWeb"/>
        <w:spacing w:before="240" w:beforeAutospacing="0" w:after="240" w:afterAutospacing="0"/>
      </w:pPr>
      <w:r>
        <w:rPr>
          <w:color w:val="000000"/>
        </w:rPr>
        <w:t xml:space="preserve">The development process was very collaborative throughout the entire process. We met with small groups of diverse users throughout the process to get feedback and conduct user testing. This helped us to tailor the tool to address the needs of the users instead of just creating what we thought would be useful. When we brought the tool to the final meeting, we were confident that it would help to explain the non-commercial catch estimation process, but also would help </w:t>
      </w:r>
      <w:r>
        <w:rPr>
          <w:color w:val="000000"/>
        </w:rPr>
        <w:lastRenderedPageBreak/>
        <w:t>address questions other fishers may have about the process. We also got feedback early and often, making sure to iterate on the development and add in features along the way. This sped up the development time and allowed us to “build up” the tool as we went.</w:t>
      </w:r>
    </w:p>
    <w:p w14:paraId="5EBE5618" w14:textId="77777777" w:rsidR="003C1631" w:rsidRDefault="003C1631" w:rsidP="003C1631">
      <w:pPr>
        <w:pStyle w:val="NormalWeb"/>
        <w:spacing w:before="240" w:beforeAutospacing="0" w:after="240" w:afterAutospacing="0"/>
      </w:pPr>
      <w:r>
        <w:rPr>
          <w:color w:val="000000"/>
        </w:rPr>
        <w:t>The feedback during user testing led to some important features found in the final product, such as the capability to show or hide elements from the plot, and a table and plot showing the allocation of catch among the three sectors of the fishery. As we tested the tool with other scientists, we realized that we were presenting a lot of information at one time in each plot and that it was distracting the audience before we could finish the explanation of what the plot was showing. To address this, we figured out how to make the plots show only one element at first and then allow for more elements to be added in as we walk through the plot step-by-step. This helped keep the audience focused only on the information we wanted to talk about at the time. Additionally, we noticed a common sticking point for many of the fishers we spoke with was how this new catch estimation would impact the commercial ACL. We wanted to reassure them that even though it may be counter-intuitive, a decrease in non-commercial catch would not negatively impact the commercial ACL. To show this, we created unique visualizations to show the ACL allocated by each sector in the previous method and the new method and showed that the commercial ACL allocation was in fact very similar between the two methods. This plot helped to reassure many of the fishers during the process. </w:t>
      </w:r>
    </w:p>
    <w:p w14:paraId="46F9C05E" w14:textId="77777777" w:rsidR="003C1631" w:rsidRDefault="003C1631" w:rsidP="003C1631">
      <w:pPr>
        <w:pStyle w:val="NormalWeb"/>
        <w:spacing w:before="240" w:beforeAutospacing="0" w:after="240" w:afterAutospacing="0"/>
      </w:pPr>
      <w:r>
        <w:rPr>
          <w:b/>
          <w:bCs/>
          <w:color w:val="000000"/>
          <w:sz w:val="36"/>
          <w:szCs w:val="36"/>
        </w:rPr>
        <w:t>6. Conclusion</w:t>
      </w:r>
    </w:p>
    <w:p w14:paraId="7655B455" w14:textId="77777777" w:rsidR="003C1631" w:rsidRDefault="003C1631" w:rsidP="003C1631">
      <w:pPr>
        <w:pStyle w:val="NormalWeb"/>
        <w:spacing w:before="240" w:beforeAutospacing="0" w:after="240" w:afterAutospacing="0"/>
      </w:pPr>
      <w:r>
        <w:rPr>
          <w:color w:val="000000"/>
        </w:rPr>
        <w:t xml:space="preserve">The Deep7 </w:t>
      </w:r>
      <w:proofErr w:type="spellStart"/>
      <w:r>
        <w:rPr>
          <w:color w:val="000000"/>
        </w:rPr>
        <w:t>bottomfish</w:t>
      </w:r>
      <w:proofErr w:type="spellEnd"/>
      <w:r>
        <w:rPr>
          <w:color w:val="000000"/>
        </w:rPr>
        <w:t xml:space="preserve"> catch estimation tool represents a paradigm shift in fisheries science communication, moving from traditional one-way information transfer to collaborative, transparent decision-making. The tool successfully achieved its dual objectives of improving catch estimation accuracy through stakeholder knowledge integration and building community trust through methodological transparency.</w:t>
      </w:r>
    </w:p>
    <w:p w14:paraId="50F40715" w14:textId="77777777" w:rsidR="003C1631" w:rsidRDefault="003C1631" w:rsidP="003C1631">
      <w:pPr>
        <w:pStyle w:val="NormalWeb"/>
        <w:spacing w:before="240" w:beforeAutospacing="0" w:after="240" w:afterAutospacing="0"/>
      </w:pPr>
      <w:r>
        <w:rPr>
          <w:color w:val="000000"/>
        </w:rPr>
        <w:t>Key achievements include: (1) facilitating consensus-building among diverse stakeholder groups with varying perspectives on fishery dynamics, (2) identifying critical inter-island variations that improved the robustness of catch estimates, and (3) establishing a replicable framework for transparent fisheries assessment communication.</w:t>
      </w:r>
    </w:p>
    <w:p w14:paraId="3CC0812D" w14:textId="5E3B80D4" w:rsidR="003C1631" w:rsidRDefault="003C1631" w:rsidP="003C1631">
      <w:pPr>
        <w:pStyle w:val="NormalWeb"/>
        <w:spacing w:before="240" w:beforeAutospacing="0" w:after="240" w:afterAutospacing="0"/>
      </w:pPr>
      <w:r>
        <w:rPr>
          <w:color w:val="000000"/>
        </w:rPr>
        <w:t>The collaborative development process revealed important methodological insights, particularly regarding the heterogeneity of fishing practices across</w:t>
      </w:r>
      <w:r w:rsidR="003831C2">
        <w:rPr>
          <w:color w:val="000000"/>
        </w:rPr>
        <w:t xml:space="preserve"> the</w:t>
      </w:r>
      <w:r>
        <w:rPr>
          <w:color w:val="000000"/>
        </w:rPr>
        <w:t xml:space="preserve"> </w:t>
      </w:r>
      <w:proofErr w:type="gramStart"/>
      <w:r>
        <w:rPr>
          <w:color w:val="000000"/>
        </w:rPr>
        <w:t>Hawaiian islands</w:t>
      </w:r>
      <w:proofErr w:type="gramEnd"/>
      <w:r>
        <w:rPr>
          <w:color w:val="000000"/>
        </w:rPr>
        <w:t xml:space="preserve"> and the need for flexible estimation approaches. These insights directly improved the quality of the </w:t>
      </w:r>
      <w:r w:rsidR="00995F43">
        <w:rPr>
          <w:color w:val="000000"/>
        </w:rPr>
        <w:t>non-commercial catch estimation</w:t>
      </w:r>
      <w:r>
        <w:rPr>
          <w:color w:val="000000"/>
        </w:rPr>
        <w:t xml:space="preserve"> by incorporating previously unquantified local knowledge.</w:t>
      </w:r>
    </w:p>
    <w:p w14:paraId="40287F4D" w14:textId="262AC44D" w:rsidR="003C1631" w:rsidRDefault="003C1631" w:rsidP="003C1631">
      <w:pPr>
        <w:pStyle w:val="NormalWeb"/>
        <w:spacing w:before="240" w:beforeAutospacing="0" w:after="240" w:afterAutospacing="0"/>
      </w:pPr>
      <w:r>
        <w:rPr>
          <w:color w:val="000000"/>
        </w:rPr>
        <w:t xml:space="preserve">Beyond its immediate application, this tool establishes a new standard for participatory fisheries science that could be adapted for other data-limited fisheries facing similar </w:t>
      </w:r>
      <w:r w:rsidR="00995F43">
        <w:rPr>
          <w:color w:val="000000"/>
        </w:rPr>
        <w:t>data</w:t>
      </w:r>
      <w:r>
        <w:rPr>
          <w:color w:val="000000"/>
        </w:rPr>
        <w:t>. The open-source nature of the tool and its hosting on public servers ensures continued accessibility and potential for adaptation by other fisheries management organizations.</w:t>
      </w:r>
    </w:p>
    <w:p w14:paraId="6CA892A6" w14:textId="77777777" w:rsidR="003C1631" w:rsidRDefault="003C1631" w:rsidP="003C1631">
      <w:pPr>
        <w:pStyle w:val="NormalWeb"/>
        <w:spacing w:before="240" w:beforeAutospacing="0" w:after="240" w:afterAutospacing="0"/>
      </w:pPr>
      <w:r>
        <w:rPr>
          <w:color w:val="000000"/>
        </w:rPr>
        <w:t xml:space="preserve">Future development will focus on expanding technical capabilities for scientific reviewers while maintaining the user-friendly interface that proved essential for stakeholder engagement. The tool's success demonstrates that complex fisheries science can be made accessible without </w:t>
      </w:r>
      <w:r>
        <w:rPr>
          <w:color w:val="000000"/>
        </w:rPr>
        <w:lastRenderedPageBreak/>
        <w:t>sacrificing analytical rigor, providing a model for improving trust and collaboration in fisheries management.</w:t>
      </w:r>
    </w:p>
    <w:p w14:paraId="6BCD5E14" w14:textId="77777777" w:rsidR="00F62342" w:rsidRPr="00F62342" w:rsidRDefault="00F62342">
      <w:pPr>
        <w:rPr>
          <w:rFonts w:ascii="Times New Roman" w:hAnsi="Times New Roman" w:cs="Times New Roman"/>
          <w:sz w:val="24"/>
          <w:szCs w:val="24"/>
        </w:rPr>
      </w:pPr>
    </w:p>
    <w:sectPr w:rsidR="00F62342" w:rsidRPr="00F623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66779"/>
    <w:multiLevelType w:val="multilevel"/>
    <w:tmpl w:val="9F38D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C3BD1"/>
    <w:multiLevelType w:val="multilevel"/>
    <w:tmpl w:val="EE1A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8344D"/>
    <w:multiLevelType w:val="multilevel"/>
    <w:tmpl w:val="7AF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B7959"/>
    <w:multiLevelType w:val="multilevel"/>
    <w:tmpl w:val="5282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52595"/>
    <w:multiLevelType w:val="multilevel"/>
    <w:tmpl w:val="0CF2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B0254"/>
    <w:multiLevelType w:val="multilevel"/>
    <w:tmpl w:val="177E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C7D34"/>
    <w:multiLevelType w:val="multilevel"/>
    <w:tmpl w:val="EC04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B3661"/>
    <w:multiLevelType w:val="multilevel"/>
    <w:tmpl w:val="EE7A6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E4B00"/>
    <w:multiLevelType w:val="multilevel"/>
    <w:tmpl w:val="09520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F4421"/>
    <w:multiLevelType w:val="multilevel"/>
    <w:tmpl w:val="E246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825C6"/>
    <w:multiLevelType w:val="multilevel"/>
    <w:tmpl w:val="9FDA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35398"/>
    <w:multiLevelType w:val="multilevel"/>
    <w:tmpl w:val="9014F7D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30B53A3"/>
    <w:multiLevelType w:val="multilevel"/>
    <w:tmpl w:val="9C8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F4236"/>
    <w:multiLevelType w:val="multilevel"/>
    <w:tmpl w:val="BA4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D49F0"/>
    <w:multiLevelType w:val="multilevel"/>
    <w:tmpl w:val="98F0C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93068"/>
    <w:multiLevelType w:val="multilevel"/>
    <w:tmpl w:val="730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791522"/>
    <w:multiLevelType w:val="multilevel"/>
    <w:tmpl w:val="CD86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45F4C"/>
    <w:multiLevelType w:val="multilevel"/>
    <w:tmpl w:val="6BC8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3598A"/>
    <w:multiLevelType w:val="multilevel"/>
    <w:tmpl w:val="7CA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90C5A"/>
    <w:multiLevelType w:val="multilevel"/>
    <w:tmpl w:val="2892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1422A"/>
    <w:multiLevelType w:val="multilevel"/>
    <w:tmpl w:val="2520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632CB0"/>
    <w:multiLevelType w:val="multilevel"/>
    <w:tmpl w:val="170C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634886"/>
    <w:multiLevelType w:val="multilevel"/>
    <w:tmpl w:val="1478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6527C"/>
    <w:multiLevelType w:val="multilevel"/>
    <w:tmpl w:val="345C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85714"/>
    <w:multiLevelType w:val="multilevel"/>
    <w:tmpl w:val="D6E0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51560"/>
    <w:multiLevelType w:val="hybridMultilevel"/>
    <w:tmpl w:val="E370F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A777661"/>
    <w:multiLevelType w:val="multilevel"/>
    <w:tmpl w:val="5F6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3554DC"/>
    <w:multiLevelType w:val="multilevel"/>
    <w:tmpl w:val="71E6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96C0F"/>
    <w:multiLevelType w:val="multilevel"/>
    <w:tmpl w:val="B026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6D63B9"/>
    <w:multiLevelType w:val="multilevel"/>
    <w:tmpl w:val="E53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101A6"/>
    <w:multiLevelType w:val="multilevel"/>
    <w:tmpl w:val="F830F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1562EC"/>
    <w:multiLevelType w:val="multilevel"/>
    <w:tmpl w:val="9BC2CC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62C151A8"/>
    <w:multiLevelType w:val="multilevel"/>
    <w:tmpl w:val="E45C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5F2147"/>
    <w:multiLevelType w:val="multilevel"/>
    <w:tmpl w:val="CC2A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1D2678"/>
    <w:multiLevelType w:val="multilevel"/>
    <w:tmpl w:val="EE4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91C8C"/>
    <w:multiLevelType w:val="multilevel"/>
    <w:tmpl w:val="9F16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470EEB"/>
    <w:multiLevelType w:val="multilevel"/>
    <w:tmpl w:val="DA0E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D35757"/>
    <w:multiLevelType w:val="multilevel"/>
    <w:tmpl w:val="E1A0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D570EF"/>
    <w:multiLevelType w:val="multilevel"/>
    <w:tmpl w:val="9B48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9"/>
  </w:num>
  <w:num w:numId="3">
    <w:abstractNumId w:val="14"/>
  </w:num>
  <w:num w:numId="4">
    <w:abstractNumId w:val="22"/>
  </w:num>
  <w:num w:numId="5">
    <w:abstractNumId w:val="27"/>
  </w:num>
  <w:num w:numId="6">
    <w:abstractNumId w:val="8"/>
  </w:num>
  <w:num w:numId="7">
    <w:abstractNumId w:val="30"/>
  </w:num>
  <w:num w:numId="8">
    <w:abstractNumId w:val="1"/>
  </w:num>
  <w:num w:numId="9">
    <w:abstractNumId w:val="16"/>
  </w:num>
  <w:num w:numId="10">
    <w:abstractNumId w:val="33"/>
  </w:num>
  <w:num w:numId="11">
    <w:abstractNumId w:val="29"/>
  </w:num>
  <w:num w:numId="12">
    <w:abstractNumId w:val="0"/>
  </w:num>
  <w:num w:numId="13">
    <w:abstractNumId w:val="7"/>
  </w:num>
  <w:num w:numId="14">
    <w:abstractNumId w:val="28"/>
  </w:num>
  <w:num w:numId="15">
    <w:abstractNumId w:val="10"/>
  </w:num>
  <w:num w:numId="16">
    <w:abstractNumId w:val="36"/>
  </w:num>
  <w:num w:numId="17">
    <w:abstractNumId w:val="20"/>
  </w:num>
  <w:num w:numId="18">
    <w:abstractNumId w:val="2"/>
  </w:num>
  <w:num w:numId="19">
    <w:abstractNumId w:val="13"/>
  </w:num>
  <w:num w:numId="20">
    <w:abstractNumId w:val="35"/>
  </w:num>
  <w:num w:numId="21">
    <w:abstractNumId w:val="37"/>
  </w:num>
  <w:num w:numId="22">
    <w:abstractNumId w:val="38"/>
  </w:num>
  <w:num w:numId="23">
    <w:abstractNumId w:val="6"/>
  </w:num>
  <w:num w:numId="24">
    <w:abstractNumId w:val="12"/>
  </w:num>
  <w:num w:numId="25">
    <w:abstractNumId w:val="34"/>
  </w:num>
  <w:num w:numId="26">
    <w:abstractNumId w:val="21"/>
  </w:num>
  <w:num w:numId="27">
    <w:abstractNumId w:val="23"/>
  </w:num>
  <w:num w:numId="28">
    <w:abstractNumId w:val="3"/>
  </w:num>
  <w:num w:numId="29">
    <w:abstractNumId w:val="32"/>
  </w:num>
  <w:num w:numId="30">
    <w:abstractNumId w:val="26"/>
  </w:num>
  <w:num w:numId="31">
    <w:abstractNumId w:val="9"/>
  </w:num>
  <w:num w:numId="32">
    <w:abstractNumId w:val="18"/>
  </w:num>
  <w:num w:numId="33">
    <w:abstractNumId w:val="15"/>
  </w:num>
  <w:num w:numId="34">
    <w:abstractNumId w:val="5"/>
  </w:num>
  <w:num w:numId="35">
    <w:abstractNumId w:val="17"/>
  </w:num>
  <w:num w:numId="36">
    <w:abstractNumId w:val="4"/>
  </w:num>
  <w:num w:numId="37">
    <w:abstractNumId w:val="31"/>
  </w:num>
  <w:num w:numId="38">
    <w:abstractNumId w:val="11"/>
  </w:num>
  <w:num w:numId="3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7D6"/>
    <w:rsid w:val="00083775"/>
    <w:rsid w:val="000A1D66"/>
    <w:rsid w:val="001330BC"/>
    <w:rsid w:val="00180546"/>
    <w:rsid w:val="00181E3E"/>
    <w:rsid w:val="001C55F1"/>
    <w:rsid w:val="00235E9E"/>
    <w:rsid w:val="002A78A2"/>
    <w:rsid w:val="002C2E87"/>
    <w:rsid w:val="002C5E2B"/>
    <w:rsid w:val="002E0A0E"/>
    <w:rsid w:val="00377D0B"/>
    <w:rsid w:val="003831C2"/>
    <w:rsid w:val="003B561B"/>
    <w:rsid w:val="003C1631"/>
    <w:rsid w:val="003E03C0"/>
    <w:rsid w:val="003F6BEE"/>
    <w:rsid w:val="0040171C"/>
    <w:rsid w:val="0042337E"/>
    <w:rsid w:val="00465396"/>
    <w:rsid w:val="004C4AF2"/>
    <w:rsid w:val="004E268D"/>
    <w:rsid w:val="00500BB7"/>
    <w:rsid w:val="00540308"/>
    <w:rsid w:val="00617C8B"/>
    <w:rsid w:val="00672F0A"/>
    <w:rsid w:val="006E0FBA"/>
    <w:rsid w:val="006E670C"/>
    <w:rsid w:val="006E6AEA"/>
    <w:rsid w:val="00717D3B"/>
    <w:rsid w:val="00741601"/>
    <w:rsid w:val="007717D6"/>
    <w:rsid w:val="007C4A2D"/>
    <w:rsid w:val="007F5061"/>
    <w:rsid w:val="00875C3D"/>
    <w:rsid w:val="008B2FF9"/>
    <w:rsid w:val="00957729"/>
    <w:rsid w:val="009709F4"/>
    <w:rsid w:val="00995F43"/>
    <w:rsid w:val="009B052A"/>
    <w:rsid w:val="00A61DC3"/>
    <w:rsid w:val="00A6674C"/>
    <w:rsid w:val="00A92701"/>
    <w:rsid w:val="00B14E7B"/>
    <w:rsid w:val="00B201D8"/>
    <w:rsid w:val="00B41901"/>
    <w:rsid w:val="00C42B4E"/>
    <w:rsid w:val="00CC0480"/>
    <w:rsid w:val="00D352F6"/>
    <w:rsid w:val="00D36C7F"/>
    <w:rsid w:val="00D52FAB"/>
    <w:rsid w:val="00DE48BD"/>
    <w:rsid w:val="00E25E89"/>
    <w:rsid w:val="00E264B9"/>
    <w:rsid w:val="00E53972"/>
    <w:rsid w:val="00E91E91"/>
    <w:rsid w:val="00F6097A"/>
    <w:rsid w:val="00F62342"/>
    <w:rsid w:val="00F9567A"/>
    <w:rsid w:val="00FD7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035A9"/>
  <w15:chartTrackingRefBased/>
  <w15:docId w15:val="{F0FA711A-96E1-4C16-88A1-3D5BC9C6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717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17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17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7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17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17D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A6674C"/>
    <w:rPr>
      <w:color w:val="0563C1" w:themeColor="hyperlink"/>
      <w:u w:val="single"/>
    </w:rPr>
  </w:style>
  <w:style w:type="character" w:styleId="UnresolvedMention">
    <w:name w:val="Unresolved Mention"/>
    <w:basedOn w:val="DefaultParagraphFont"/>
    <w:uiPriority w:val="99"/>
    <w:semiHidden/>
    <w:unhideWhenUsed/>
    <w:rsid w:val="00A6674C"/>
    <w:rPr>
      <w:color w:val="605E5C"/>
      <w:shd w:val="clear" w:color="auto" w:fill="E1DFDD"/>
    </w:rPr>
  </w:style>
  <w:style w:type="paragraph" w:customStyle="1" w:styleId="whitespace-normal">
    <w:name w:val="whitespace-normal"/>
    <w:basedOn w:val="Normal"/>
    <w:rsid w:val="00E91E9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17C8B"/>
    <w:pPr>
      <w:ind w:left="720"/>
      <w:contextualSpacing/>
    </w:pPr>
  </w:style>
  <w:style w:type="paragraph" w:styleId="NormalWeb">
    <w:name w:val="Normal (Web)"/>
    <w:basedOn w:val="Normal"/>
    <w:uiPriority w:val="99"/>
    <w:semiHidden/>
    <w:unhideWhenUsed/>
    <w:rsid w:val="003C16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09851">
      <w:bodyDiv w:val="1"/>
      <w:marLeft w:val="0"/>
      <w:marRight w:val="0"/>
      <w:marTop w:val="0"/>
      <w:marBottom w:val="0"/>
      <w:divBdr>
        <w:top w:val="none" w:sz="0" w:space="0" w:color="auto"/>
        <w:left w:val="none" w:sz="0" w:space="0" w:color="auto"/>
        <w:bottom w:val="none" w:sz="0" w:space="0" w:color="auto"/>
        <w:right w:val="none" w:sz="0" w:space="0" w:color="auto"/>
      </w:divBdr>
    </w:div>
    <w:div w:id="599795369">
      <w:bodyDiv w:val="1"/>
      <w:marLeft w:val="0"/>
      <w:marRight w:val="0"/>
      <w:marTop w:val="0"/>
      <w:marBottom w:val="0"/>
      <w:divBdr>
        <w:top w:val="none" w:sz="0" w:space="0" w:color="auto"/>
        <w:left w:val="none" w:sz="0" w:space="0" w:color="auto"/>
        <w:bottom w:val="none" w:sz="0" w:space="0" w:color="auto"/>
        <w:right w:val="none" w:sz="0" w:space="0" w:color="auto"/>
      </w:divBdr>
    </w:div>
    <w:div w:id="760025546">
      <w:bodyDiv w:val="1"/>
      <w:marLeft w:val="0"/>
      <w:marRight w:val="0"/>
      <w:marTop w:val="0"/>
      <w:marBottom w:val="0"/>
      <w:divBdr>
        <w:top w:val="none" w:sz="0" w:space="0" w:color="auto"/>
        <w:left w:val="none" w:sz="0" w:space="0" w:color="auto"/>
        <w:bottom w:val="none" w:sz="0" w:space="0" w:color="auto"/>
        <w:right w:val="none" w:sz="0" w:space="0" w:color="auto"/>
      </w:divBdr>
    </w:div>
    <w:div w:id="1696345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IFSCstockassessments/2025_BFVR_Catch/tree/feat/04_Shin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1866</TotalTime>
  <Pages>6</Pages>
  <Words>2469</Words>
  <Characters>14077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Megumi Oshima</dc:creator>
  <cp:keywords/>
  <dc:description/>
  <cp:lastModifiedBy>Megumi Oshima</cp:lastModifiedBy>
  <cp:revision>17</cp:revision>
  <dcterms:created xsi:type="dcterms:W3CDTF">2025-08-23T00:46:00Z</dcterms:created>
  <dcterms:modified xsi:type="dcterms:W3CDTF">2025-09-04T01:10:00Z</dcterms:modified>
</cp:coreProperties>
</file>