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98.png" ContentType="image/png"/>
  <Override PartName="/word/media/rId186.png" ContentType="image/png"/>
  <Override PartName="/word/media/rId138.png" ContentType="image/png"/>
  <Override PartName="/word/media/rId85.png" ContentType="image/png"/>
  <Override PartName="/word/media/rId226.png" ContentType="image/png"/>
  <Override PartName="/word/media/rId202.png" ContentType="image/png"/>
  <Override PartName="/word/media/rId190.png" ContentType="image/png"/>
  <Override PartName="/word/media/rId81.png" ContentType="image/png"/>
  <Override PartName="/word/media/rId77.png" ContentType="image/png"/>
  <Override PartName="/word/media/rId122.png" ContentType="image/png"/>
  <Override PartName="/word/media/rId280.png" ContentType="image/png"/>
  <Override PartName="/word/media/rId276.png" ContentType="image/png"/>
  <Override PartName="/word/media/rId194.png" ContentType="image/png"/>
  <Override PartName="/word/media/rId272.png" ContentType="image/png"/>
  <Override PartName="/word/media/rId210.png" ContentType="image/png"/>
  <Override PartName="/word/media/rId214.png" ContentType="image/png"/>
  <Override PartName="/word/media/rId218.png" ContentType="image/png"/>
  <Override PartName="/word/media/rId222.png" ContentType="image/png"/>
  <Override PartName="/word/media/rId206.png" ContentType="image/png"/>
  <Override PartName="/word/media/rId130.png" ContentType="image/png"/>
  <Override PartName="/word/media/rId126.png" ContentType="image/png"/>
  <Override PartName="/word/media/rId266.png" ContentType="image/png"/>
  <Override PartName="/word/media/rId269.png" ContentType="image/png"/>
  <Override PartName="/word/media/rId254.png" ContentType="image/png"/>
  <Override PartName="/word/media/rId257.png" ContentType="image/png"/>
  <Override PartName="/word/media/rId242.png" ContentType="image/png"/>
  <Override PartName="/word/media/rId245.png" ContentType="image/png"/>
  <Override PartName="/word/media/rId248.png" ContentType="image/png"/>
  <Override PartName="/word/media/rId251.png" ContentType="image/png"/>
  <Override PartName="/word/media/rId260.png" ContentType="image/png"/>
  <Override PartName="/word/media/rId263.png" ContentType="image/png"/>
  <Override PartName="/word/media/rId230.png" ContentType="image/png"/>
  <Override PartName="/word/media/rId233.png" ContentType="image/png"/>
  <Override PartName="/word/media/rId236.png" ContentType="image/png"/>
  <Override PartName="/word/media/rId239.png" ContentType="image/png"/>
  <Override PartName="/word/media/rId134.png" ContentType="image/png"/>
  <Override PartName="/word/media/rId89.png" ContentType="image/png"/>
  <Override PartName="/word/media/rId92.png" ContentType="image/png"/>
  <Override PartName="/word/media/rId95.png" ContentType="image/png"/>
  <Override PartName="/word/media/rId142.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99.png" ContentType="image/png"/>
  <Override PartName="/word/media/rId103.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Stock</w:t>
      </w:r>
      <w:r>
        <w:t xml:space="preserve"> </w:t>
      </w:r>
      <w:r>
        <w:t xml:space="preserve">Assessment</w:t>
      </w:r>
      <w:r>
        <w:t xml:space="preserve"> </w:t>
      </w:r>
      <w:r>
        <w:t xml:space="preserve">Report</w:t>
      </w:r>
      <w:r>
        <w:t xml:space="preserve"> </w:t>
      </w:r>
      <w:r>
        <w:t xml:space="preserve">for</w:t>
      </w:r>
      <w:r>
        <w:t xml:space="preserve"> </w:t>
      </w:r>
      <w:r>
        <w:t xml:space="preserve">Swordfish</w:t>
      </w:r>
      <w:r>
        <w:t xml:space="preserve"> </w:t>
      </w:r>
      <w:r>
        <w:t xml:space="preserve">(Xiphias</w:t>
      </w:r>
      <w:r>
        <w:t xml:space="preserve"> </w:t>
      </w:r>
      <w:r>
        <w:t xml:space="preserve">gladius)</w:t>
      </w:r>
      <w:r>
        <w:t xml:space="preserve"> </w:t>
      </w:r>
      <w:r>
        <w:t xml:space="preserve">in</w:t>
      </w:r>
      <w:r>
        <w:t xml:space="preserve"> </w:t>
      </w:r>
      <w:r>
        <w:t xml:space="preserve">the</w:t>
      </w:r>
      <w:r>
        <w:t xml:space="preserve"> </w:t>
      </w:r>
      <w:r>
        <w:t xml:space="preserve">North</w:t>
      </w:r>
      <w:r>
        <w:t xml:space="preserve"> </w:t>
      </w:r>
      <w:r>
        <w:t xml:space="preserve">Pacific</w:t>
      </w:r>
      <w:r>
        <w:t xml:space="preserve"> </w:t>
      </w:r>
      <w:r>
        <w:t xml:space="preserve">through</w:t>
      </w:r>
      <w:r>
        <w:t xml:space="preserve"> </w:t>
      </w:r>
      <w:r>
        <w:t xml:space="preserve">2021</w:t>
      </w:r>
    </w:p>
    <w:p>
      <w:pPr>
        <w:pStyle w:val="Author"/>
      </w:pPr>
      <w:r>
        <w:t xml:space="preserve">ISC</w:t>
      </w:r>
      <w:r>
        <w:t xml:space="preserve"> </w:t>
      </w:r>
      <w:r>
        <w:t xml:space="preserve">Billfish</w:t>
      </w:r>
      <w:r>
        <w:t xml:space="preserve"> </w:t>
      </w:r>
      <w:r>
        <w:t xml:space="preserve">Working</w:t>
      </w:r>
      <w:r>
        <w:t xml:space="preserve"> </w:t>
      </w:r>
      <w:r>
        <w:t xml:space="preserve">Group</w:t>
      </w:r>
    </w:p>
    <w:p>
      <w:pPr>
        <w:pStyle w:val="Date"/>
      </w:pPr>
      <w:r>
        <w:t xml:space="preserve">6/1/23</w:t>
      </w:r>
    </w:p>
    <w:bookmarkStart w:id="285" w:name="np-swo-assessment"/>
    <w:p>
      <w:pPr>
        <w:pStyle w:val="Heading1"/>
      </w:pPr>
      <w:r>
        <w:t xml:space="preserve">2023 NP SWO Assessment</w:t>
      </w:r>
    </w:p>
    <w:bookmarkStart w:id="20" w:name="introduction"/>
    <w:p>
      <w:pPr>
        <w:pStyle w:val="Heading2"/>
      </w:pPr>
      <w:r>
        <w:t xml:space="preserve">Introduction</w:t>
      </w:r>
    </w:p>
    <w:p>
      <w:pPr>
        <w:pStyle w:val="FirstParagraph"/>
      </w:pPr>
      <w:r>
        <w:t xml:space="preserve">The Billfish Working Group (BILLWG or WG) of the International Scientific Committee for Tuna and Tuna-like Species in the North Pacific Ocean (ISC) completed a benchmark stock assessment for North Pacific swordfish (Xiphias gladius) (NP SWO) in 2018 (ISC, 2018). The assessment results indicated that the stock status was not overfished and overfishing was not occurring relative to MSY-based reference points. The BILLWG agreed to conduct a new benchmark stock assessment in 2023. The BILLWG held a hybrid data preparatory meeting in Yokohama, Japan December 2022 to evaluate any new information on stock structure, life history parameters, and fishery data (ISC, 2023). Then the BILLWG conducted the stock assessment at a hybrid meeting in Honolulu, in HI 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(SS3) version 3.30.20.</w:t>
      </w:r>
    </w:p>
    <w:bookmarkEnd w:id="20"/>
    <w:bookmarkStart w:id="40" w:name="materials-and-methods"/>
    <w:p>
      <w:pPr>
        <w:pStyle w:val="Heading2"/>
      </w:pPr>
      <w:r>
        <w:t xml:space="preserve">Materials and Methods</w:t>
      </w:r>
    </w:p>
    <w:bookmarkStart w:id="21" w:name="spatial-and-temporal-stratification"/>
    <w:p>
      <w:pPr>
        <w:pStyle w:val="Heading3"/>
      </w:pPr>
      <w:r>
        <w:t xml:space="preserve">Spatial and Temporal Stratification</w:t>
      </w:r>
    </w:p>
    <w:p>
      <w:pPr>
        <w:pStyle w:val="FirstParagraph"/>
      </w:pPr>
      <w:r>
        <w:t xml:space="preserve">The geographic area encompassed in the assessment for NP SWO was the North Pacific Ocean bounded by the equator in the WCPFC convention area, and 10°N in the IATTC convention area (</w:t>
      </w:r>
      <w:hyperlink w:anchor="fig-stockareas2">
        <w:r>
          <w:rPr>
            <w:rStyle w:val="Hyperlink"/>
          </w:rPr>
          <w:t xml:space="preserve">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w:t>
      </w:r>
      <w:r>
        <w:t xml:space="preserve"> </w:t>
      </w:r>
      <w:hyperlink w:anchor="fig-dataplot">
        <w:r>
          <w:rPr>
            <w:rStyle w:val="Hyperlink"/>
          </w:rPr>
          <w:t xml:space="preserve">Figure 2</w:t>
        </w:r>
      </w:hyperlink>
      <w:r>
        <w:t xml:space="preserve">. Further details are presented below.</w:t>
      </w:r>
    </w:p>
    <w:bookmarkEnd w:id="21"/>
    <w:bookmarkStart w:id="22" w:name="definition-of-fisheries"/>
    <w:p>
      <w:pPr>
        <w:pStyle w:val="Heading3"/>
      </w:pPr>
      <w:r>
        <w:t xml:space="preserve">Definition of Fisheries</w:t>
      </w:r>
    </w:p>
    <w:p>
      <w:pPr>
        <w:pStyle w:val="FirstParagraph"/>
      </w:pPr>
      <w:r>
        <w:t xml:space="preserve">A total of 19 fleets catching NP SWO were defined based on country, gear type, location, and time period, where each fishery was assumed to target a distinct component of the stock. Descriptions and data sources to characterize the 19 fisheries that catch NP SWO are summarized in</w:t>
      </w:r>
      <w:r>
        <w:t xml:space="preserve"> </w:t>
      </w:r>
      <w:hyperlink w:anchor="tbl-fleets">
        <w:r>
          <w:rPr>
            <w:rStyle w:val="Hyperlink"/>
          </w:rPr>
          <w:t xml:space="preserve">Table 1</w:t>
        </w:r>
      </w:hyperlink>
      <w:r>
        <w:t xml:space="preserve">.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fleet for any additional catches and two fleets from the US for gillnet and all other catches which included handline and troll catches. Finally, there was one fleet for each region containing the the various flags not otherwise included, one for the Eastern Pacific Ocean (IATTC) and one for the Western and Central Pacific Ocean (WCPFC).</w:t>
      </w:r>
    </w:p>
    <w:bookmarkEnd w:id="22"/>
    <w:bookmarkStart w:id="23" w:name="catch"/>
    <w:p>
      <w:pPr>
        <w:pStyle w:val="Heading3"/>
      </w:pPr>
      <w:r>
        <w:t xml:space="preserve">Catch</w:t>
      </w:r>
    </w:p>
    <w:p>
      <w:pPr>
        <w:pStyle w:val="FirstParagraph"/>
      </w:pPr>
      <w:r>
        <w:t xml:space="preserve">Catch was input into the model on a quarterly basis (i.e., by calendar year and quarter) from 1975 to 2021 for the 19 individual fleets. Catch was reported in terms of thousands of fish for Japanese and US longline fleets, all others reported catch in biomass (metric tons, mt).</w:t>
      </w:r>
    </w:p>
    <w:p>
      <w:pPr>
        <w:pStyle w:val="BodyText"/>
      </w:pPr>
      <w:r>
        <w:t xml:space="preserve">Three countries (i.e., Chinese Taipei, Japan, and the USA) provided national catch data (Hirotaka Ijima, NRIFSF, personal communication; Yi-Jay Chang, NTU, personal communication; Russell Ito, NOAA NMFS, personal communication). The NP SWO catches for all other fishing countries were collected from WCPFC category I and II data (WCPFC Yearbook 2021) and IATTC category I and II data (need reference).</w:t>
      </w:r>
    </w:p>
    <w:p>
      <w:pPr>
        <w:pStyle w:val="BodyText"/>
      </w:pPr>
      <w:r>
        <w:t xml:space="preserve">The resulting best available data on NP SWO catch by fishery from 1975-2021 were tabulated and are shown in</w:t>
      </w:r>
      <w:r>
        <w:t xml:space="preserve"> </w:t>
      </w:r>
      <w:hyperlink w:anchor="fig-catchbyfleet">
        <w:r>
          <w:rPr>
            <w:rStyle w:val="Hyperlink"/>
          </w:rPr>
          <w:t xml:space="preserve">Figure 3</w:t>
        </w:r>
      </w:hyperlink>
      <w:r>
        <w:t xml:space="preserve"> </w:t>
      </w:r>
      <w:r>
        <w:t xml:space="preserve">and</w:t>
      </w:r>
      <w:r>
        <w:t xml:space="preserve"> </w:t>
      </w:r>
      <w:hyperlink w:anchor="tbl-inputcatch">
        <w:r>
          <w:rPr>
            <w:rStyle w:val="Hyperlink"/>
          </w:rPr>
          <w:t xml:space="preserve">Table 2</w:t>
        </w:r>
      </w:hyperlink>
      <w:r>
        <w:t xml:space="preserve">. The historical maximum and minimum annual NP SWO catches were 19230 mt in 1998 and 9539 mt in 1995, respectively. Overall, annual catch of NP SWO generally declined since 1998 and 9539. The mean annual catch of NP SWO during 2019-2021 was 10653 mt.</w:t>
      </w:r>
    </w:p>
    <w:bookmarkEnd w:id="23"/>
    <w:bookmarkStart w:id="24" w:name="abundance-indices"/>
    <w:p>
      <w:pPr>
        <w:pStyle w:val="Heading3"/>
      </w:pPr>
      <w:r>
        <w:t xml:space="preserve">Abundance Indices</w:t>
      </w:r>
    </w:p>
    <w:p>
      <w:pPr>
        <w:pStyle w:val="FirstParagraph"/>
      </w:pPr>
      <w:r>
        <w:t xml:space="preserve">Relative abundance indices for NP SWO based on standardized CPUE were prepared for this assessment and are shown in</w:t>
      </w:r>
      <w:r>
        <w:t xml:space="preserve"> </w:t>
      </w:r>
      <w:hyperlink w:anchor="fig-FLRsmoother">
        <w:r>
          <w:rPr>
            <w:rStyle w:val="Hyperlink"/>
          </w:rPr>
          <w:t xml:space="preserve">Figure 4</w:t>
        </w:r>
      </w:hyperlink>
      <w:r>
        <w:t xml:space="preserve"> </w:t>
      </w:r>
      <w:r>
        <w:t xml:space="preserve">and</w:t>
      </w:r>
      <w:r>
        <w:t xml:space="preserve"> </w:t>
      </w:r>
      <w:hyperlink w:anchor="tbl-fleets">
        <w:r>
          <w:rPr>
            <w:rStyle w:val="Hyperlink"/>
          </w:rPr>
          <w:t xml:space="preserve">Table 1</w:t>
        </w:r>
      </w:hyperlink>
      <w:r>
        <w:t xml:space="preserve"> </w:t>
      </w:r>
      <w:r>
        <w:t xml:space="preserve">and</w:t>
      </w:r>
      <w:r>
        <w:t xml:space="preserve"> </w:t>
      </w:r>
      <w:hyperlink w:anchor="tbl-inputCPUE">
        <w:r>
          <w:rPr>
            <w:rStyle w:val="Hyperlink"/>
          </w:rPr>
          <w:t xml:space="preserve">Table 3</w:t>
        </w:r>
      </w:hyperlink>
      <w:r>
        <w:t xml:space="preserve">. A generalized linear mixed model (GLMM) using R-INLA was used to produce a spatio-temporal model for areas one and two as identified in the 2018 assessment (Kanaiwa and Ijima, 2018) Japanese CPUE data</w:t>
      </w:r>
      <w:r>
        <w:t xml:space="preserve"> </w:t>
      </w:r>
      <w:r>
        <w:t xml:space="preserve">were also standardized in two-time periods (Early: 1975-1993 and Late: 1994-2021) due to the change of Japanese logbook reporting requirements (Jusup</w:t>
      </w:r>
      <w:r>
        <w:t xml:space="preserve"> </w:t>
      </w:r>
      <w:r>
        <w:rPr>
          <w:iCs/>
          <w:i/>
        </w:rPr>
        <w:t xml:space="preserve">et al.,</w:t>
      </w:r>
      <w:r>
        <w:t xml:space="preserve"> </w:t>
      </w:r>
      <w:r>
        <w:t xml:space="preserve">2023).</w:t>
      </w:r>
    </w:p>
    <w:p>
      <w:pPr>
        <w:pStyle w:val="BodyText"/>
      </w:pPr>
      <w:r>
        <w:t xml:space="preserve">Operational fishing data collected by observers in the Hawaiian longline fishery during 1995-2021 were used in the CPUE standardization for US longline fleets (Bohaboy and Sculley, 2023). The fishery operates in two sectors: a shallow-set sector targeting swordfish and a deep-set sector targeting tunas. The NP SWO are non-targeted catch in the deep-set sector and a target species in the shallow-set sector. These data were standardized into a three CPUE time series using generalized additive mixed models (GAMM), with a continuous index for the deep-set sector and two indices for shallow-set: 1995-2000 and 2004-2021, to account for the fishery closure from 2001 to 2004. As the majority of the fish caught in the deep-set sector are young of the year, this CPUE index is treated as a recruitment index in the model and not fit as a traditional CPUE index.</w:t>
      </w:r>
    </w:p>
    <w:p>
      <w:pPr>
        <w:pStyle w:val="BodyText"/>
      </w:pPr>
      <w:r>
        <w:t xml:space="preserve">The distant-water longline fleet from Chinese Taipei was standardized from 2000-2021 using a spatio-temporal GLMM (VAST, Thorson,</w:t>
      </w:r>
      <w:r>
        <w:t xml:space="preserve"> </w:t>
      </w:r>
      <w:r>
        <w:rPr>
          <w:iCs/>
          <w:i/>
        </w:rPr>
        <w:t xml:space="preserve">et al.,</w:t>
      </w:r>
      <w:r>
        <w:t xml:space="preserve"> </w:t>
      </w:r>
      <w:r>
        <w:t xml:space="preserve">2019) model (Hsu and Chang, 2023).</w:t>
      </w:r>
    </w:p>
    <w:p>
      <w:pPr>
        <w:pStyle w:val="BodyText"/>
      </w:pPr>
      <w:r>
        <w:t xml:space="preserve">Visual inspection of four indices of late period (S2, S4, S5, and S8) showed three of the indices indicated a generally increasing trend in the last 5-10 years, with the exception of the US LL shallow-set index (</w:t>
      </w:r>
      <w:hyperlink w:anchor="fig-FLRsmoother">
        <w:r>
          <w:rPr>
            <w:rStyle w:val="Hyperlink"/>
          </w:rPr>
          <w:t xml:space="preserve">Figure 4</w:t>
        </w:r>
      </w:hyperlink>
      <w:r>
        <w:t xml:space="preserve">). After consideration of the limited area in the Central North Pacific that the US index represents, the WG agreed that the trend of the US LL shallow-set index may not be representative of the overall abundance of adult swordfish in the North Pacific. This fishery targets a small area of the Pacific north of the Hawaiian Islands, has historically 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virgin recruitment (R</w:t>
      </w:r>
      <w:r>
        <w:rPr>
          <w:vertAlign w:val="subscript"/>
        </w:rPr>
        <w:t xml:space="preserve">0</w:t>
      </w:r>
      <w:r>
        <w:t xml:space="preserve">), S5 and S8 were ultimately excluded from the model.</w:t>
      </w:r>
    </w:p>
    <w:bookmarkEnd w:id="24"/>
    <w:bookmarkStart w:id="25" w:name="size-composition-data"/>
    <w:p>
      <w:pPr>
        <w:pStyle w:val="Heading3"/>
      </w:pPr>
      <w:r>
        <w:t xml:space="preserve">Size Composition Data</w:t>
      </w:r>
    </w:p>
    <w:p>
      <w:pPr>
        <w:pStyle w:val="FirstParagraph"/>
      </w:pPr>
      <w:r>
        <w:t xml:space="preserve">Quarterly fish length composition data from 1975 - 2021 for nine fleets were used for the assessment and are summarized in Table 3. Length frequency data were compiled using 5-cm length bins from 10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pPr>
        <w:pStyle w:val="BodyText"/>
      </w:pPr>
      <w:hyperlink w:anchor="fig-LengthDataPlot">
        <w:r>
          <w:rPr>
            <w:rStyle w:val="Hyperlink"/>
          </w:rPr>
          <w:t xml:space="preserve">Figure 5</w:t>
        </w:r>
      </w:hyperlink>
      <w:r>
        <w:t xml:space="preserve"> </w:t>
      </w:r>
      <w:r>
        <w:t xml:space="preserve">shows the quarterly length compositions. Most of the fisheries caught adult individuals. The longline fleets caught fish with a mean of around 140-150 cm eye-fork length (EFL) while F2 caught slightly larger fish, with a mean around 160 cm EFL. F7 caught the largest fish on average, 180cm EFL, and the US longline deep-set sector fleet caught smaller fish on average than any of the other fleets (mean size 130cm EFL, with a median at ~55 cm EFL).</w:t>
      </w:r>
    </w:p>
    <w:p>
      <w:pPr>
        <w:pStyle w:val="BodyText"/>
      </w:pPr>
      <w:r>
        <w:t xml:space="preserve">The aggregate length composition distributions were relatively consistent between fleets, with the exception of the US Longline fleet (</w:t>
      </w:r>
      <w:hyperlink w:anchor="fig-SizeAggFits">
        <w:r>
          <w:rPr>
            <w:rStyle w:val="Hyperlink"/>
          </w:rPr>
          <w:t xml:space="preserve">Figure 6</w:t>
        </w:r>
      </w:hyperlink>
      <w:r>
        <w:t xml:space="preserve">). Most longline length composition distributions had a single mode around 150-160cm EFL, while the US deep-set fleet had a large peak around 55 cm EFL and a long and fat tail. Ultimately, due to challenges fitting the US deep-set fleet (F9) and the small component of catch it represented, it was not included in the final base-case model. Similarly, JPN_EPO_OSDWLL (F5) was not included in the final base-case model due to conflict with the other size composition data and low sample size.</w:t>
      </w:r>
    </w:p>
    <w:bookmarkEnd w:id="25"/>
    <w:bookmarkStart w:id="26" w:name="model-description"/>
    <w:p>
      <w:pPr>
        <w:pStyle w:val="Heading3"/>
      </w:pPr>
      <w:r>
        <w:t xml:space="preserve">Model Description</w:t>
      </w:r>
    </w:p>
    <w:p>
      <w:pPr>
        <w:pStyle w:val="FirstParagraph"/>
      </w:pPr>
      <w:r>
        <w:t xml:space="preserve">The stock assessment for NP SWO was conducted using SS3 version 3.30.20.00-SAFE released 09/30/2022 programed via Otter Research ADMB 13.0 (Methot and Wetzel, 2013). The model was set up as a single area model with a single sex and four seasons (quarters), with the WCNPO and EPO regions modeled implicitly using fleets-as-areas. Spawning was assumed to occur in quarter two while recruitment was assumed to occur in July (month 7). The maximum age of NP SWO was set to 15 years based upon the observed maximum size caught in the fishery. Age-specific natural mortality was used (</w:t>
      </w:r>
      <w:hyperlink w:anchor="tbl-lifehistory">
        <w:r>
          <w:rPr>
            <w:rStyle w:val="Hyperlink"/>
          </w:rPr>
          <w:t xml:space="preserve">Table 4</w:t>
        </w:r>
      </w:hyperlink>
      <w:r>
        <w:t xml:space="preserve">) as agreed upon in the BILLWG data preparatory meeting (ISC, 2023). The age at length L1 was set to age 0.5, the coefficient of variation (CV) of length at age of the growth curve was set to 0.1 for both the young fish (Ages 0-0.5) and the old fish (ages 0.5+) and these were assumed to be the same for both sexes. The sex ratio at birth was assumed to be 1:1. The growth curve used was a von Bertalanffy growth curve for ages 0.5-15 with a K = 0.246 for females and 0.271 for males, a length at age 15 (</w:t>
      </w:r>
      <w:r>
        <w:rPr>
          <w:iCs/>
          <w:i/>
        </w:rPr>
        <w:t xml:space="preserve">L</w:t>
      </w:r>
      <w:r>
        <w:rPr>
          <w:vertAlign w:val="subscript"/>
          <w:iCs/>
          <w:i/>
        </w:rPr>
        <w:t xml:space="preserve">2</w:t>
      </w:r>
      <w:r>
        <w:t xml:space="preserve">) = 226.3 cm EFL for females and 206.4 cm EFL for males, and the size at age 0.5 (</w:t>
      </w:r>
      <w:r>
        <w:rPr>
          <w:iCs/>
          <w:i/>
        </w:rPr>
        <w:t xml:space="preserve">L</w:t>
      </w:r>
      <w:r>
        <w:rPr>
          <w:vertAlign w:val="subscript"/>
          <w:iCs/>
          <w:i/>
        </w:rPr>
        <w:t xml:space="preserve">1</w:t>
      </w:r>
      <w:r>
        <w:t xml:space="preserve">) = 80.1 cm EFL for females and 83.4 cm EFL for males. A Beverton-Holt spawner-recruit relationship was used with steepness (h) set at 0.9 and sigmaR (σ</w:t>
      </w:r>
      <w:r>
        <w:rPr>
          <w:vertAlign w:val="subscript"/>
        </w:rPr>
        <w:t xml:space="preserve">r</w:t>
      </w:r>
      <w:r>
        <w:t xml:space="preserve">) rescaled to 0.42using the estimates from SS3.</w:t>
      </w:r>
    </w:p>
    <w:bookmarkEnd w:id="26"/>
    <w:bookmarkStart w:id="27" w:name="data-observation-models"/>
    <w:p>
      <w:pPr>
        <w:pStyle w:val="Heading3"/>
      </w:pPr>
      <w:r>
        <w:t xml:space="preserve">Data Observation Models</w:t>
      </w:r>
    </w:p>
    <w:p>
      <w:pPr>
        <w:pStyle w:val="FirstParagraph"/>
      </w:pPr>
      <w:r>
        <w:t xml:space="preserve">The assessment model fit three data components: 1) total catch; 2) relative abundance indices; and 3) length composition data. The observed total catches were assumed to be unbiased and relatively precise, and were fitted assuming a lognormal error distribution with standard error (SE) of 0.05. The relative abundance indices were assumed to have lognormally distributed errors with SE in log-space (log(SE)) which was</w:t>
      </w:r>
      <w:r>
        <w:t xml:space="preserve"> </w:t>
      </w:r>
      <m:oMath>
        <m:r>
          <m:t>l</m:t>
        </m:r>
        <m:r>
          <m:t>o</m:t>
        </m:r>
        <m:r>
          <m:t>g</m:t>
        </m:r>
        <m:d>
          <m:dPr>
            <m:begChr m:val="("/>
            <m:endChr m:val=")"/>
            <m:sepChr m:val=""/>
            <m:grow/>
          </m:dPr>
          <m:e>
            <m:r>
              <m:t>S</m:t>
            </m:r>
            <m:r>
              <m:t>E</m:t>
            </m:r>
          </m:e>
        </m:d>
        <m:r>
          <m:rPr>
            <m:sty m:val="p"/>
          </m:rPr>
          <m:t>=</m:t>
        </m:r>
        <m:rad>
          <m:radPr>
            <m:degHide m:val="1"/>
          </m:radPr>
          <m:deg/>
          <m:e>
            <m:r>
              <m:t>l</m:t>
            </m:r>
            <m:r>
              <m:t>o</m:t>
            </m:r>
            <m:r>
              <m:t>g</m:t>
            </m:r>
            <m:d>
              <m:dPr>
                <m:begChr m:val="("/>
                <m:endChr m:val=")"/>
                <m:sepChr m:val=""/>
                <m:grow/>
              </m:dPr>
              <m:e>
                <m:r>
                  <m:t>1</m:t>
                </m:r>
                <m:r>
                  <m:rPr>
                    <m:sty m:val="p"/>
                  </m:rPr>
                  <m:t>+</m:t>
                </m:r>
                <m:r>
                  <m:t>C</m:t>
                </m:r>
                <m:sSup>
                  <m:e>
                    <m:r>
                      <m:t>V</m:t>
                    </m:r>
                  </m:e>
                  <m:sup>
                    <m:r>
                      <m:t>2</m:t>
                    </m:r>
                  </m:sup>
                </m:sSup>
              </m:e>
            </m:d>
          </m:e>
        </m:rad>
      </m:oMath>
      <w:r>
        <w:t xml:space="preserve">, where CV is the standard error of the observation divided by the mean value of the observation.</w:t>
      </w:r>
    </w:p>
    <w:p>
      <w:pPr>
        <w:pStyle w:val="BodyText"/>
      </w:pPr>
      <w:r>
        <w:t xml:space="preserve">Five CPUEs (S1, S2, S3, S4, and S8) were assigned to quarter one. S5 was assigned to quarter three and S6 and S7 were assigned to quarter two, which roughly coincided with the quarters in which the most catch was reported for each fleet. The CPUE indices were assumed to be linearly proportional to biomass where catchability (</w:t>
      </w:r>
      <w:r>
        <w:rPr>
          <w:iCs/>
          <w:i/>
        </w:rPr>
        <w:t xml:space="preserve">q</w:t>
      </w:r>
      <w:r>
        <w:t xml:space="preserve">) was assumed to be constant and occur in the first month of the quarter assigned.</w:t>
      </w:r>
    </w:p>
    <w:p>
      <w:pPr>
        <w:pStyle w:val="BodyText"/>
      </w:pPr>
      <w:r>
        <w:t xml:space="preserve">The CVs for each CPUE index were assumed to be equal to their respective calculated SEs on the log scale (</w:t>
      </w:r>
      <w:hyperlink w:anchor="tbl-CPUErmse">
        <w:r>
          <w:rPr>
            <w:rStyle w:val="Hyperlink"/>
          </w:rPr>
          <w:t xml:space="preserve">Table 5</w:t>
        </w:r>
      </w:hyperlink>
      <w:r>
        <w:t xml:space="preserve">). The minimum CV was scaled to a minimum of 0.2 and then re-weighted if the suggested variance was greater than the input variance based upon the Francis method using the root-mean-square error (RMSE, i.e., square root of the residual variance, Francis, 2011).</w:t>
      </w:r>
    </w:p>
    <w:p>
      <w:pPr>
        <w:pStyle w:val="BodyText"/>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w:t>
      </w:r>
      <w:r>
        <w:t xml:space="preserve"> </w:t>
      </w:r>
      <w:r>
        <w:rPr>
          <w:iCs/>
          <w:i/>
        </w:rPr>
        <w:t xml:space="preserve">et al.</w:t>
      </w:r>
      <w:r>
        <w:t xml:space="preserve">,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bookmarkEnd w:id="27"/>
    <w:bookmarkStart w:id="28" w:name="estimation-of-fishery-selectivity"/>
    <w:p>
      <w:pPr>
        <w:pStyle w:val="Heading3"/>
      </w:pPr>
      <w:r>
        <w:t xml:space="preserve">Estimation of Fishery Selectivity</w:t>
      </w:r>
    </w:p>
    <w:p>
      <w:pPr>
        <w:pStyle w:val="FirstParagraph"/>
      </w:pPr>
      <w:r>
        <w:t xml:space="preserve">Selectivity was estimated as a double-normal curve for all fleets, except for F2, the Chinese Taipei longline fishery, and F4, other IATTC fleets in the EPO, which were estimated as asymptotic lognormal (</w:t>
      </w:r>
      <w:hyperlink w:anchor="fig-EOYselec">
        <w:r>
          <w:rPr>
            <w:rStyle w:val="Hyperlink"/>
          </w:rPr>
          <w:t xml:space="preserve">Figure 9</w:t>
        </w:r>
      </w:hyperlink>
      <w:r>
        <w:t xml:space="preserve">). Two fleets had time varying selectivity: F1 (</w:t>
      </w:r>
      <w:hyperlink w:anchor="fig-F1TVSelec">
        <w:r>
          <w:rPr>
            <w:rStyle w:val="Hyperlink"/>
          </w:rPr>
          <w:t xml:space="preserve">Figure 7</w:t>
        </w:r>
      </w:hyperlink>
      <w:r>
        <w:t xml:space="preserve">) and F2 (</w:t>
      </w:r>
      <w:hyperlink w:anchor="fig-F2TVSelec">
        <w:r>
          <w:rPr>
            <w:rStyle w:val="Hyperlink"/>
          </w:rPr>
          <w:t xml:space="preserve">Figure 8</w:t>
        </w:r>
      </w:hyperlink>
      <w:r>
        <w:t xml:space="preserve">). All other fleets were mirrored to the fleet that was believed to have the most similar selectivity pattern (</w:t>
      </w:r>
      <w:hyperlink w:anchor="tbl-selectivity">
        <w:r>
          <w:rPr>
            <w:rStyle w:val="Hyperlink"/>
          </w:rPr>
          <w:t xml:space="preserve">Table 6</w:t>
        </w:r>
      </w:hyperlink>
      <w:r>
        <w:t xml:space="preserve">).</w:t>
      </w:r>
    </w:p>
    <w:bookmarkEnd w:id="28"/>
    <w:bookmarkStart w:id="29" w:name="data-weighting"/>
    <w:p>
      <w:pPr>
        <w:pStyle w:val="Heading3"/>
      </w:pPr>
      <w:r>
        <w:t xml:space="preserve">Data Weighting</w:t>
      </w:r>
    </w:p>
    <w:p>
      <w:pPr>
        <w:pStyle w:val="FirstParagraph"/>
      </w:pPr>
      <w:r>
        <w:t xml:space="preserve">Index data were prioritized in this assessment based on the principles that relative abundance indices (CPUEs) should be fitted well because abundance indices are a direct measure of population trends and scale, and that other data components such as composition data should not induce poor fits to the abundance indices (Francis, 2011).</w:t>
      </w:r>
    </w:p>
    <w:p>
      <w:pPr>
        <w:pStyle w:val="BodyText"/>
      </w:pPr>
      <w:r>
        <w:t xml:space="preserve">It is common practice to re-weight some or all data sets in two stages (Francis, 2011). Input length composition sample sizes and CPUE data iteratively re-weighted in stage 2, but only if the re-weighting decreased the sample size or increased the CV of the CPUE index.</w:t>
      </w:r>
    </w:p>
    <w:bookmarkEnd w:id="29"/>
    <w:bookmarkStart w:id="37" w:name="model-diagnostics"/>
    <w:p>
      <w:pPr>
        <w:pStyle w:val="Heading3"/>
      </w:pPr>
      <w:r>
        <w:t xml:space="preserve">Model Diagnostics</w:t>
      </w:r>
    </w:p>
    <w:p>
      <w:pPr>
        <w:pStyle w:val="FirstParagraph"/>
      </w:pPr>
      <w:r>
        <w:t xml:space="preserve">Several diagnostics have been evaluated for their utility to identify data conflicts and model misspecification within integrated stock assessment models (Carvalho</w:t>
      </w:r>
      <w:r>
        <w:t xml:space="preserve"> </w:t>
      </w:r>
      <w:r>
        <w:rPr>
          <w:bCs/>
          <w:b/>
        </w:rPr>
        <w:t xml:space="preserve">et al.,</w:t>
      </w:r>
      <w:r>
        <w:t xml:space="preserve"> </w:t>
      </w:r>
      <w:r>
        <w:t xml:space="preserve">2017). However, Carvalho</w:t>
      </w:r>
      <w:r>
        <w:t xml:space="preserve"> </w:t>
      </w:r>
      <w:r>
        <w:rPr>
          <w:iCs/>
          <w:i/>
        </w:rPr>
        <w:t xml:space="preserve">et al.</w:t>
      </w:r>
      <w:r>
        <w:t xml:space="preserve"> </w:t>
      </w:r>
      <w:r>
        <w:t xml:space="preserve">(2017) determined that there was no single diagnostic that worked well in all of the cases they evaluated. Instead, they recommend the use of a carefully selected range of diagnostics that proved to increase the ability to detect model misspecification.</w:t>
      </w:r>
    </w:p>
    <w:p>
      <w:pPr>
        <w:pStyle w:val="BodyText"/>
      </w:pPr>
      <w:r>
        <w:t xml:space="preserve">Key stock assessments diagnostics identified by Carvalho</w:t>
      </w:r>
      <w:r>
        <w:t xml:space="preserve"> </w:t>
      </w:r>
      <w:r>
        <w:rPr>
          <w:iCs/>
          <w:i/>
        </w:rPr>
        <w:t xml:space="preserve">et al.</w:t>
      </w:r>
      <w:r>
        <w:t xml:space="preserve"> </w:t>
      </w:r>
      <w:r>
        <w:t xml:space="preserve">(2017) and Carvalho</w:t>
      </w:r>
      <w:r>
        <w:t xml:space="preserve"> </w:t>
      </w:r>
      <w:r>
        <w:rPr>
          <w:iCs/>
          <w:i/>
        </w:rPr>
        <w:t xml:space="preserve">et al.</w:t>
      </w:r>
      <w:r>
        <w:t xml:space="preserve"> </w:t>
      </w:r>
      <w:r>
        <w:t xml:space="preserve">(2021) were implemented to evaluate the base case model.</w:t>
      </w:r>
    </w:p>
    <w:bookmarkStart w:id="30" w:name="r0-likelihood-profile"/>
    <w:p>
      <w:pPr>
        <w:pStyle w:val="Heading4"/>
      </w:pPr>
      <w:r>
        <w:t xml:space="preserve">R</w:t>
      </w:r>
      <w:r>
        <w:rPr>
          <w:vertAlign w:val="subscript"/>
        </w:rPr>
        <w:t xml:space="preserve">0</w:t>
      </w:r>
      <w:r>
        <w:t xml:space="preserve"> </w:t>
      </w:r>
      <w:r>
        <w:t xml:space="preserve">likelihood profile</w:t>
      </w:r>
    </w:p>
    <w:p>
      <w:pPr>
        <w:pStyle w:val="FirstParagraph"/>
      </w:pPr>
      <w:r>
        <w:t xml:space="preserve">An R</w:t>
      </w:r>
      <w:r>
        <w:rPr>
          <w:vertAlign w:val="subscript"/>
        </w:rPr>
        <w:t xml:space="preserve">0</w:t>
      </w:r>
      <w:r>
        <w:t xml:space="preserve"> </w:t>
      </w:r>
      <w:r>
        <w:t xml:space="preserve">likelihood component profile (Lee</w:t>
      </w:r>
      <w:r>
        <w:t xml:space="preserve"> </w:t>
      </w:r>
      <w:r>
        <w:rPr>
          <w:iCs/>
          <w:i/>
        </w:rPr>
        <w:t xml:space="preserve">et al.</w:t>
      </w:r>
      <w:r>
        <w:t xml:space="preserve"> </w:t>
      </w:r>
      <w:r>
        <w:t xml:space="preserve">2014) was applied to the base-case model results. The diagnostic was implemented here by sequentially fixing the equilibrium recruitment parameter, R</w:t>
      </w:r>
      <w:r>
        <w:rPr>
          <w:vertAlign w:val="subscript"/>
        </w:rPr>
        <w:t xml:space="preserve">0</w:t>
      </w:r>
      <w:r>
        <w:t xml:space="preserve">, on the natural log scale, log(R</w:t>
      </w:r>
      <w:r>
        <w:rPr>
          <w:vertAlign w:val="subscript"/>
        </w:rPr>
        <w:t xml:space="preserve">0</w:t>
      </w:r>
      <w:r>
        <w:t xml:space="preserve">), to a range of values. The relative change in negative log-likelihood units over the range of fixed values for log(R</w:t>
      </w:r>
      <w:r>
        <w:rPr>
          <w:vertAlign w:val="subscript"/>
        </w:rPr>
        <w:t xml:space="preserve">0</w:t>
      </w:r>
      <w:r>
        <w:t xml:space="preserve">) (the R</w:t>
      </w:r>
      <w:r>
        <w:rPr>
          <w:vertAlign w:val="subscript"/>
        </w:rPr>
        <w:t xml:space="preserve">0</w:t>
      </w:r>
      <w:r>
        <w:t xml:space="preserve"> </w:t>
      </w:r>
      <w:r>
        <w:t xml:space="preserve">profile) was compared among the SS3 model likelihood components for CPUE, length-composition, initial equilibrium catch, and recruitment deviations using two diagnostic tests. First, a relatively large change in negative log-likelihood units along the R</w:t>
      </w:r>
      <w:r>
        <w:rPr>
          <w:vertAlign w:val="subscript"/>
        </w:rPr>
        <w:t xml:space="preserve">0</w:t>
      </w:r>
      <w:r>
        <w:t xml:space="preserve"> </w:t>
      </w:r>
      <w:r>
        <w:t xml:space="preserve">profile was diagnostic of a relatively informative data source for that particular model. Second, a difference in the location of the minimum negative log-likelihood along the R</w:t>
      </w:r>
      <w:r>
        <w:rPr>
          <w:vertAlign w:val="subscript"/>
        </w:rPr>
        <w:t xml:space="preserve">0</w:t>
      </w:r>
      <w:r>
        <w:t xml:space="preserve"> </w:t>
      </w:r>
      <w:r>
        <w:t xml:space="preserve">profile among data sources was diagnostic of either conflict in the data or model misspecification (or both).</w:t>
      </w:r>
    </w:p>
    <w:bookmarkEnd w:id="30"/>
    <w:bookmarkStart w:id="31" w:name="goodness-of-fit-indices-of-abundance"/>
    <w:p>
      <w:pPr>
        <w:pStyle w:val="Heading4"/>
      </w:pPr>
      <w:r>
        <w:t xml:space="preserve">Goodness-of-Fit Indices of Abundance</w:t>
      </w:r>
    </w:p>
    <w:p>
      <w:pPr>
        <w:pStyle w:val="FirstParagraph"/>
      </w:pPr>
      <w:r>
        <w:t xml:space="preserve">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bookmarkEnd w:id="31"/>
    <w:bookmarkStart w:id="32" w:name="goodness-of-fit-size-composition-data"/>
    <w:p>
      <w:pPr>
        <w:pStyle w:val="Heading4"/>
      </w:pPr>
      <w:r>
        <w:t xml:space="preserve">Goodness-of-Fit Size Composition Data</w:t>
      </w:r>
    </w:p>
    <w:p>
      <w:pPr>
        <w:pStyle w:val="FirstParagraph"/>
      </w:pPr>
      <w:r>
        <w:t xml:space="preserve">Comparisons between the observed and expected mean values of composition data from Francis (2011) were used for model diagnostics. Pearson residuals for size composition data fits were also used as a model diagnostic.</w:t>
      </w:r>
    </w:p>
    <w:bookmarkEnd w:id="32"/>
    <w:bookmarkStart w:id="33" w:name="runs-test"/>
    <w:p>
      <w:pPr>
        <w:pStyle w:val="Heading4"/>
      </w:pPr>
      <w:r>
        <w:t xml:space="preserve">Runs Test</w:t>
      </w:r>
    </w:p>
    <w:p>
      <w:pPr>
        <w:pStyle w:val="FirstParagraph"/>
      </w:pPr>
      <w:r>
        <w:t xml:space="preserve">The runs test evaluates the residuals of the CPUE indices and size composition mean length trends. This is a nonparametric test for randomness in the sequence of residuals (Carvalho</w:t>
      </w:r>
      <w:r>
        <w:t xml:space="preserve"> </w:t>
      </w:r>
      <w:r>
        <w:rPr>
          <w:iCs/>
          <w:i/>
        </w:rPr>
        <w:t xml:space="preserve">et al.,</w:t>
      </w:r>
      <w:r>
        <w:t xml:space="preserve"> </w:t>
      </w:r>
      <w:r>
        <w:t xml:space="preserve">2021, Wald and Wolfowitz 1940). In other words, this test uses a 2-sided p-value to estimate the number of positive or negative residuals in a row (a</w:t>
      </w:r>
      <w:r>
        <w:t xml:space="preserve"> </w:t>
      </w:r>
      <w:r>
        <w:t xml:space="preserve">“</w:t>
      </w:r>
      <w:r>
        <w:t xml:space="preserve">run</w:t>
      </w:r>
      <w:r>
        <w:t xml:space="preserve">”</w:t>
      </w:r>
      <w:r>
        <w:t xml:space="preserve">). CPUE or size composition data that fail the runs test indicate that there may be a pattern in the residuals and the model is unable to fit the data well or is mis-specified.</w:t>
      </w:r>
    </w:p>
    <w:bookmarkEnd w:id="33"/>
    <w:bookmarkStart w:id="34" w:name="retrospective-analysis"/>
    <w:p>
      <w:pPr>
        <w:pStyle w:val="Heading4"/>
      </w:pPr>
      <w:r>
        <w:t xml:space="preserve">Retrospective analysis</w:t>
      </w:r>
    </w:p>
    <w:p>
      <w:pPr>
        <w:pStyle w:val="FirstParagraph"/>
      </w:pPr>
      <w:r>
        <w:t xml:space="preserve">Retrospective analysis is a way to detect bias and model misspecification (Hurtado-Ferro</w:t>
      </w:r>
      <w:r>
        <w:t xml:space="preserve"> </w:t>
      </w:r>
      <w:r>
        <w:rPr>
          <w:iCs/>
          <w:i/>
        </w:rPr>
        <w:t xml:space="preserve">et al.,</w:t>
      </w:r>
      <w:r>
        <w:t xml:space="preserve"> </w:t>
      </w:r>
      <w:r>
        <w:t xml:space="preserve">2014). A retrospective analysis was applied to the base-case model results. The diagnostic was implemented here by sequentially eliminating the five most recent years of data from the full stock assessment base case model (a 5 year</w:t>
      </w:r>
      <w:r>
        <w:t xml:space="preserve"> </w:t>
      </w:r>
      <w:r>
        <w:t xml:space="preserve">“</w:t>
      </w:r>
      <w:r>
        <w:t xml:space="preserve">peel</w:t>
      </w:r>
      <w:r>
        <w:t xml:space="preserve">”</w:t>
      </w:r>
      <w:r>
        <w:t xml:space="preserve">) and then re-estimating all stock assessment model parameters from each peel and from the full model. Then Mohn’s rho was calculated for the biomass and fishing mortality peels, which measures the severity of the retrospective pattern (Hurtado-Ferro</w:t>
      </w:r>
      <w:r>
        <w:t xml:space="preserve"> </w:t>
      </w:r>
      <w:r>
        <w:rPr>
          <w:iCs/>
          <w:i/>
        </w:rPr>
        <w:t xml:space="preserve">et al.,</w:t>
      </w:r>
      <w:r>
        <w:t xml:space="preserve"> </w:t>
      </w:r>
      <w:r>
        <w:t xml:space="preserve">2014). Values higher than 0.20 and lower than -0.15 can indicate problematic retrospective patterns and may point to model misspecification, data conflicts, or poor fits to the data.</w:t>
      </w:r>
    </w:p>
    <w:bookmarkEnd w:id="34"/>
    <w:bookmarkStart w:id="35" w:name="prediction-skill"/>
    <w:p>
      <w:pPr>
        <w:pStyle w:val="Heading4"/>
      </w:pPr>
      <w:r>
        <w:t xml:space="preserve">Prediction skill</w:t>
      </w:r>
    </w:p>
    <w:p>
      <w:pPr>
        <w:pStyle w:val="FirstParagraph"/>
      </w:pPr>
      <w:r>
        <w:t xml:space="preserve">In addition to evaluating the retrospective patterns of the model, understanding how well a model predicts future years is key to evaluating projections. To do so, hindcasting cross-validation was used to predict the next years’ observed data from the retrospective peel (Carvalho</w:t>
      </w:r>
      <w:r>
        <w:t xml:space="preserve"> </w:t>
      </w:r>
      <w:r>
        <w:rPr>
          <w:iCs/>
          <w:i/>
        </w:rPr>
        <w:t xml:space="preserve">et al.,</w:t>
      </w:r>
      <w:r>
        <w:t xml:space="preserve"> </w:t>
      </w:r>
      <w:r>
        <w:t xml:space="preserve">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(Carvalho</w:t>
      </w:r>
      <w:r>
        <w:t xml:space="preserve"> </w:t>
      </w:r>
      <w:r>
        <w:rPr>
          <w:iCs/>
          <w:i/>
        </w:rPr>
        <w:t xml:space="preserve">et al.,</w:t>
      </w:r>
      <w:r>
        <w:t xml:space="preserve"> </w:t>
      </w:r>
      <w:r>
        <w:t xml:space="preserve">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bookmarkEnd w:id="35"/>
    <w:bookmarkStart w:id="36" w:name="age-structured-production-model"/>
    <w:p>
      <w:pPr>
        <w:pStyle w:val="Heading4"/>
      </w:pPr>
      <w:r>
        <w:t xml:space="preserve">Age-structured production model</w:t>
      </w:r>
    </w:p>
    <w:p>
      <w:pPr>
        <w:pStyle w:val="FirstParagraph"/>
      </w:pPr>
      <w:r>
        <w:t xml:space="preserve">An age-structured production model (ASPM; Maunder and Piner, 2015; Carvalho</w:t>
      </w:r>
      <w:r>
        <w:t xml:space="preserve"> </w:t>
      </w:r>
      <w:r>
        <w:rPr>
          <w:iCs/>
          <w:i/>
        </w:rPr>
        <w:t xml:space="preserve">et al.,</w:t>
      </w:r>
      <w:r>
        <w:t xml:space="preserve"> </w:t>
      </w:r>
      <w:r>
        <w:t xml:space="preserve">2017) was applied to the base-case model results.</w:t>
      </w:r>
    </w:p>
    <w:p>
      <w:pPr>
        <w:pStyle w:val="BodyText"/>
      </w:pPr>
      <w:r>
        <w:t xml:space="preserve">The diagnostic was implemented here by fixing selectivity to its estimated values in the fully integrated stock assessment model, fixing recruitment equal to the stock recruitment curve obtained from the fully integrated stock assessment model, and then estimating the remaining parameters of the stock assessment model. Trends in relative spawning stock size were compared from the fully integrated stock assessment model and the ASPM.</w:t>
      </w:r>
    </w:p>
    <w:p>
      <w:pPr>
        <w:pStyle w:val="BodyText"/>
      </w:pPr>
      <w:r>
        <w:t xml:space="preserve">Carvalho</w:t>
      </w:r>
      <w:r>
        <w:t xml:space="preserve"> </w:t>
      </w:r>
      <w:r>
        <w:rPr>
          <w:iCs/>
          <w:i/>
        </w:rPr>
        <w:t xml:space="preserve">et al.</w:t>
      </w:r>
      <w:r>
        <w:t xml:space="preserve"> </w:t>
      </w:r>
      <w:r>
        <w:t xml:space="preserve">(2017) suggests that if the ASPM is able to fit well to the indices of abundance that have good contrast (i.e. those that have declining and/or increasing trends), then this is evidence of the existence of a production function, and the indices will likely provide information about absolute abundance. On the other hand, Carvalho</w:t>
      </w:r>
      <w:r>
        <w:t xml:space="preserve"> </w:t>
      </w:r>
      <w:r>
        <w:rPr>
          <w:iCs/>
          <w:i/>
        </w:rPr>
        <w:t xml:space="preserve">et al.</w:t>
      </w:r>
      <w:r>
        <w:t xml:space="preserve"> </w:t>
      </w:r>
      <w:r>
        <w:t xml:space="preserve">(2017) suggests that if there is not a good fit to the indices, then the catch data alone cannot explain the trajectories depicted in the indices of relative abundance. This can have several causes: (i) the stock is recruitment-driven; (ii) the stock has not yet declined to the point at which catch is a major factor influencing abundance; (iii) the base-case model is incorrect; or (iv) the indices of relative abundance are not proportional to abundance.</w:t>
      </w:r>
    </w:p>
    <w:bookmarkEnd w:id="36"/>
    <w:bookmarkEnd w:id="37"/>
    <w:bookmarkStart w:id="38" w:name="sensitivity-analyses"/>
    <w:p>
      <w:pPr>
        <w:pStyle w:val="Heading3"/>
      </w:pPr>
      <w:r>
        <w:t xml:space="preserve">Sensitivity Analyses</w:t>
      </w:r>
    </w:p>
    <w:p>
      <w:pPr>
        <w:pStyle w:val="FirstParagraph"/>
      </w:pPr>
      <w:r>
        <w:t xml:space="preserve">In the April 2023 BILLWG workshop, the BILLWG agreed to conduct a series of sensitivity analyses (</w:t>
      </w:r>
      <w:hyperlink w:anchor="tbl-sensitivity">
        <w:r>
          <w:rPr>
            <w:rStyle w:val="Hyperlink"/>
          </w:rPr>
          <w:t xml:space="preserve">Table 7</w:t>
        </w:r>
      </w:hyperlink>
      <w:r>
        <w:t xml:space="preserve">) to examine the effects of plausible alternative model assumptions and data input to the stock status. These analyses were:</w:t>
      </w:r>
    </w:p>
    <w:p>
      <w:pPr>
        <w:numPr>
          <w:ilvl w:val="0"/>
          <w:numId w:val="1001"/>
        </w:numPr>
      </w:pPr>
      <w:r>
        <w:rPr>
          <w:bCs/>
          <w:b/>
          <w:u w:val="single"/>
        </w:rPr>
        <w:t xml:space="preserve">Sensitivity analysis on natural mortality</w:t>
      </w:r>
      <w:r>
        <w:t xml:space="preserve">: The BILLWG conducted two sensitivity analyses for natural mortality (M)-at-age. These were a low M scenario where Ms-at-ages were 10% lower than those of the base-case model and a high M scenario where Ms-at-ages were 10% higher than those of the base case model.</w:t>
      </w:r>
    </w:p>
    <w:p>
      <w:pPr>
        <w:numPr>
          <w:ilvl w:val="0"/>
          <w:numId w:val="1001"/>
        </w:numPr>
      </w:pPr>
      <w:r>
        <w:rPr>
          <w:bCs/>
          <w:b/>
          <w:u w:val="single"/>
        </w:rPr>
        <w:t xml:space="preserve">Sensitivity analysis on steepness</w:t>
      </w:r>
      <w:r>
        <w:t xml:space="preserve">: The BILLWG conducted three additional sensitivity runs on steepness (h). Steepness was fixed at higher value (h=0.99), lower value (h=0.81), and much lower value (h=0.70) compared to the base-case value (h=0.9).</w:t>
      </w:r>
    </w:p>
    <w:p>
      <w:pPr>
        <w:numPr>
          <w:ilvl w:val="0"/>
          <w:numId w:val="1001"/>
        </w:numPr>
      </w:pPr>
      <w:r>
        <w:rPr>
          <w:bCs/>
          <w:b/>
          <w:u w:val="single"/>
        </w:rPr>
        <w:t xml:space="preserve">Sensitivity analysis on growth</w:t>
      </w:r>
      <w:r>
        <w:t xml:space="preserve">: Two sensitivity runs on growth were conducted, one increasing the size at age Amax by 10% and one using an alternative growth curve from Sun</w:t>
      </w:r>
      <w:r>
        <w:t xml:space="preserve"> </w:t>
      </w:r>
      <w:r>
        <w:rPr>
          <w:iCs/>
          <w:i/>
        </w:rPr>
        <w:t xml:space="preserve">et al.,</w:t>
      </w:r>
      <w:r>
        <w:t xml:space="preserve"> </w:t>
      </w:r>
      <w:r>
        <w:t xml:space="preserve">(2002).</w:t>
      </w:r>
    </w:p>
    <w:p>
      <w:pPr>
        <w:numPr>
          <w:ilvl w:val="0"/>
          <w:numId w:val="1001"/>
        </w:numPr>
      </w:pPr>
      <w:r>
        <w:rPr>
          <w:bCs/>
          <w:b/>
          <w:u w:val="single"/>
        </w:rPr>
        <w:t xml:space="preserve">Sensitivity analysis on maturity</w:t>
      </w:r>
      <w:r>
        <w:t xml:space="preserve">: The BILLWG conducted three sensitivity runs on the maturity ogive. The maturity ogive was fixed at the values 10% higher and lower than the base-case value and used an alternative ogive from Wang</w:t>
      </w:r>
      <w:r>
        <w:t xml:space="preserve"> </w:t>
      </w:r>
      <w:r>
        <w:rPr>
          <w:iCs/>
          <w:i/>
        </w:rPr>
        <w:t xml:space="preserve">et al.,</w:t>
      </w:r>
      <w:r>
        <w:t xml:space="preserve"> </w:t>
      </w:r>
      <w:r>
        <w:t xml:space="preserve">(2003).</w:t>
      </w:r>
    </w:p>
    <w:p>
      <w:pPr>
        <w:numPr>
          <w:ilvl w:val="0"/>
          <w:numId w:val="1001"/>
        </w:numPr>
      </w:pPr>
      <w:r>
        <w:rPr>
          <w:bCs/>
          <w:b/>
          <w:u w:val="single"/>
        </w:rPr>
        <w:t xml:space="preserve">Sensitivity analysis on catch</w:t>
      </w:r>
      <w:r>
        <w:t xml:space="preserve">: The BILLWG conducted three sensitivity runs on catch and stock structure. One removed the Vietnam and Chinese catch. Two others addressed stock structure concerns, one including all catch in the North Pacific including between the equator and 10°N in the EPO and one including the</w:t>
      </w:r>
      <w:r>
        <w:t xml:space="preserve"> </w:t>
      </w:r>
      <w:r>
        <w:t xml:space="preserve">“</w:t>
      </w:r>
      <w:r>
        <w:t xml:space="preserve">orphan</w:t>
      </w:r>
      <w:r>
        <w:t xml:space="preserve">”</w:t>
      </w:r>
      <w:r>
        <w:t xml:space="preserve"> </w:t>
      </w:r>
      <w:r>
        <w:t xml:space="preserve">catch between 165°W adn 150°W and the equator and 5°N that is not included in any base-case assessment for the three Pacific swordfish stocks.</w:t>
      </w:r>
    </w:p>
    <w:p>
      <w:pPr>
        <w:numPr>
          <w:ilvl w:val="0"/>
          <w:numId w:val="1001"/>
        </w:numPr>
      </w:pPr>
      <w:r>
        <w:rPr>
          <w:bCs/>
          <w:b/>
          <w:u w:val="single"/>
        </w:rPr>
        <w:t xml:space="preserve">Sensitivity analysis on modeling structure</w:t>
      </w:r>
      <w:r>
        <w:t xml:space="preserve">: The BILLWG conducted eleven additional sensitivity runs to explore the effects of changes in the model assumptions made during the model development: 1) a model setting A</w:t>
      </w:r>
      <w:r>
        <w:rPr>
          <w:vertAlign w:val="subscript"/>
        </w:rPr>
        <w:t xml:space="preserve">min</w:t>
      </w:r>
      <w:r>
        <w:t xml:space="preserve"> </w:t>
      </w:r>
      <w:r>
        <w:t xml:space="preserve">to 1 which was used in the 2018 assessment; 2) a model without the inclusion of the S8 US deep-set LL recruitment index (S6); 3) a model with the selectivity pattern for Chinese Taipei longline size data (F2) set as double normal; 4.) a model including the size data from the US deep-set LL fleet (F8); 5.) six models using a single CPUE index to inform relative abundance, and 7.) a model including all the CPUE indicies available.</w:t>
      </w:r>
    </w:p>
    <w:bookmarkEnd w:id="38"/>
    <w:bookmarkStart w:id="39" w:name="future-projections"/>
    <w:p>
      <w:pPr>
        <w:pStyle w:val="Heading3"/>
      </w:pPr>
      <w:r>
        <w:t xml:space="preserve">Future Projections</w:t>
      </w:r>
    </w:p>
    <w:p>
      <w:pPr>
        <w:pStyle w:val="FirstParagraph"/>
      </w:pPr>
      <w:r>
        <w:t xml:space="preserve">Deterministic future projections were conducted in SS to evaluate the impact of various levels of fishing mortality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fishing mortality, selectivity patterns, and relative fishing mortality proportions depended on the specific harvest scenarios. The last three model years’ (2019-2021) selectivity patterns and relative fishing mortality rates were used in the population future projections. It was assumed that future recruitment would be similar to the stock recruitment curve (S/R Curve).The projections started in 2022 and continued through 2031 under five different harvest scenarios:</w:t>
      </w:r>
    </w:p>
    <w:p>
      <w:pPr>
        <w:numPr>
          <w:ilvl w:val="0"/>
          <w:numId w:val="1002"/>
        </w:numPr>
      </w:pPr>
      <w:r>
        <w:rPr>
          <w:bCs/>
          <w:b/>
          <w:u w:val="single"/>
        </w:rPr>
        <w:t xml:space="preserve">F</w:t>
      </w:r>
      <w:r>
        <w:rPr>
          <w:vertAlign w:val="subscript"/>
          <w:bCs/>
          <w:b/>
          <w:u w:val="single"/>
        </w:rPr>
        <w:t xml:space="preserve">20%SSBF=0</w:t>
      </w:r>
      <w:r>
        <w:rPr>
          <w:bCs/>
          <w:b/>
          <w:u w:val="single"/>
        </w:rPr>
        <w:t xml:space="preserve">Scenario</w:t>
      </w:r>
      <w:r>
        <w:t xml:space="preserve"> </w:t>
      </w:r>
      <w:r>
        <w:rPr>
          <w:bCs/>
          <w:b/>
        </w:rPr>
        <w:t xml:space="preserve">(F</w:t>
      </w:r>
      <w:r>
        <w:rPr>
          <w:vertAlign w:val="subscript"/>
          <w:bCs/>
          <w:b/>
        </w:rPr>
        <w:t xml:space="preserve">Btgt</w:t>
      </w:r>
      <w:r>
        <w:rPr>
          <w:bCs/>
          <w:b/>
        </w:rPr>
        <w:t xml:space="preserve">)</w:t>
      </w:r>
      <w:r>
        <w:t xml:space="preserve">: Apply the estimate of F which produces 20%SSB</w:t>
      </w:r>
      <w:r>
        <w:rPr>
          <w:vertAlign w:val="subscript"/>
        </w:rPr>
        <w:t xml:space="preserve">F=0</w:t>
      </w:r>
      <w:r>
        <w:t xml:space="preserve"> </w:t>
      </w:r>
      <w:r>
        <w:t xml:space="preserve">based upon the average of the last five years dynamic B0, which roughly corresponds to F</w:t>
      </w:r>
      <w:r>
        <w:rPr>
          <w:vertAlign w:val="subscript"/>
        </w:rPr>
        <w:t xml:space="preserve">19%</w:t>
      </w:r>
      <w:r>
        <w:t xml:space="preserve">.</w:t>
      </w:r>
    </w:p>
    <w:p>
      <w:pPr>
        <w:numPr>
          <w:ilvl w:val="0"/>
          <w:numId w:val="1002"/>
        </w:numPr>
      </w:pPr>
      <w:r>
        <w:rPr>
          <w:bCs/>
          <w:b/>
          <w:u w:val="single"/>
        </w:rPr>
        <w:t xml:space="preserve">2008-2010 F Scenario</w:t>
      </w:r>
      <w:r>
        <w:t xml:space="preserve"> </w:t>
      </w:r>
      <w:r>
        <w:rPr>
          <w:bCs/>
          <w:b/>
        </w:rPr>
        <w:t xml:space="preserve">(F</w:t>
      </w:r>
      <w:r>
        <w:rPr>
          <w:vertAlign w:val="subscript"/>
          <w:bCs/>
          <w:b/>
        </w:rPr>
        <w:t xml:space="preserve">2008-2010</w:t>
      </w:r>
      <w:r>
        <w:rPr>
          <w:bCs/>
          <w:b/>
        </w:rPr>
        <w:t xml:space="preserve">)</w:t>
      </w:r>
      <w:r>
        <w:t xml:space="preserve">: Use the average fishing intensity (SPR) from 2008-2010 and apply the corresponding fishing mortality rate to the stock estimates beginning in 2022; this corresponds to the proposed NP SWO CMM;</w:t>
      </w:r>
    </w:p>
    <w:p>
      <w:pPr>
        <w:numPr>
          <w:ilvl w:val="0"/>
          <w:numId w:val="1002"/>
        </w:numPr>
      </w:pPr>
      <w:r>
        <w:rPr>
          <w:bCs/>
          <w:b/>
          <w:u w:val="single"/>
        </w:rPr>
        <w:t xml:space="preserve">Low F Scenario</w:t>
      </w:r>
      <w:r>
        <w:t xml:space="preserve"> </w:t>
      </w:r>
      <w:r>
        <w:rPr>
          <w:bCs/>
          <w:b/>
        </w:rPr>
        <w:t xml:space="preserve">(F</w:t>
      </w:r>
      <w:r>
        <w:rPr>
          <w:vertAlign w:val="subscript"/>
          <w:bCs/>
          <w:b/>
        </w:rPr>
        <w:t xml:space="preserve">Low</w:t>
      </w:r>
      <w:r>
        <w:rPr>
          <w:bCs/>
          <w:b/>
        </w:rPr>
        <w:t xml:space="preserve">)</w:t>
      </w:r>
      <w:r>
        <w:t xml:space="preserve">: Apply an F</w:t>
      </w:r>
      <w:r>
        <w:rPr>
          <w:vertAlign w:val="subscript"/>
        </w:rPr>
        <w:t xml:space="preserve">SPR30%</w:t>
      </w:r>
      <w:r>
        <w:t xml:space="preserve"> </w:t>
      </w:r>
      <w:r>
        <w:t xml:space="preserve">fishing mortality rate to the stock estimates beginning in 2022;</w:t>
      </w:r>
    </w:p>
    <w:p>
      <w:pPr>
        <w:numPr>
          <w:ilvl w:val="0"/>
          <w:numId w:val="1002"/>
        </w:numPr>
      </w:pPr>
      <w:r>
        <w:rPr>
          <w:bCs/>
          <w:b/>
          <w:u w:val="single"/>
        </w:rPr>
        <w:t xml:space="preserve">F</w:t>
      </w:r>
      <w:r>
        <w:rPr>
          <w:vertAlign w:val="subscript"/>
          <w:bCs/>
          <w:b/>
          <w:u w:val="single"/>
        </w:rPr>
        <w:t xml:space="preserve">MSY</w:t>
      </w:r>
      <w:r>
        <w:rPr>
          <w:bCs/>
          <w:b/>
          <w:u w:val="single"/>
        </w:rPr>
        <w:t xml:space="preserve"> </w:t>
      </w:r>
      <w:r>
        <w:rPr>
          <w:bCs/>
          <w:b/>
          <w:u w:val="single"/>
        </w:rPr>
        <w:t xml:space="preserve">Scenario</w:t>
      </w:r>
      <w:r>
        <w:t xml:space="preserve"> </w:t>
      </w:r>
      <w:r>
        <w:rPr>
          <w:bCs/>
          <w:b/>
        </w:rPr>
        <w:t xml:space="preserve">(F</w:t>
      </w:r>
      <w:r>
        <w:rPr>
          <w:vertAlign w:val="subscript"/>
          <w:bCs/>
          <w:b/>
        </w:rPr>
        <w:t xml:space="preserve">MSY</w:t>
      </w:r>
      <w:r>
        <w:rPr>
          <w:bCs/>
          <w:b/>
        </w:rPr>
        <w:t xml:space="preserve">)</w:t>
      </w:r>
      <w:r>
        <w:t xml:space="preserve">: Apply the estimate of the F</w:t>
      </w:r>
      <w:r>
        <w:rPr>
          <w:vertAlign w:val="subscript"/>
        </w:rPr>
        <w:t xml:space="preserve">MSY</w:t>
      </w:r>
      <w:r>
        <w:t xml:space="preserve"> </w:t>
      </w:r>
      <w:r>
        <w:t xml:space="preserve">fishing mortality rate to the stock estimates beginning in 2022;</w:t>
      </w:r>
    </w:p>
    <w:p>
      <w:pPr>
        <w:numPr>
          <w:ilvl w:val="0"/>
          <w:numId w:val="1002"/>
        </w:numPr>
      </w:pPr>
      <w:r>
        <w:rPr>
          <w:bCs/>
          <w:b/>
          <w:u w:val="single"/>
        </w:rPr>
        <w:t xml:space="preserve">Status Quo F Scenario</w:t>
      </w:r>
      <w:r>
        <w:t xml:space="preserve"> </w:t>
      </w:r>
      <w:r>
        <w:rPr>
          <w:bCs/>
          <w:b/>
        </w:rPr>
        <w:t xml:space="preserve">(F</w:t>
      </w:r>
      <w:r>
        <w:rPr>
          <w:vertAlign w:val="subscript"/>
          <w:bCs/>
          <w:b/>
        </w:rPr>
        <w:t xml:space="preserve">StatusQuo</w:t>
      </w:r>
      <w:r>
        <w:rPr>
          <w:bCs/>
          <w:b/>
        </w:rPr>
        <w:t xml:space="preserve">)</w:t>
      </w:r>
      <w:r>
        <w:t xml:space="preserve">: This is the average F (age 1-10) during 2019-2021;</w:t>
      </w:r>
    </w:p>
    <w:bookmarkEnd w:id="39"/>
    <w:bookmarkEnd w:id="40"/>
    <w:bookmarkStart w:id="55" w:name="results"/>
    <w:p>
      <w:pPr>
        <w:pStyle w:val="Heading2"/>
      </w:pPr>
      <w:r>
        <w:t xml:space="preserve">Results</w:t>
      </w:r>
    </w:p>
    <w:bookmarkStart w:id="41" w:name="base-case-model"/>
    <w:p>
      <w:pPr>
        <w:pStyle w:val="Heading3"/>
      </w:pPr>
      <w:r>
        <w:t xml:space="preserve">Base Case Model</w:t>
      </w:r>
    </w:p>
    <w:p>
      <w:pPr>
        <w:pStyle w:val="FirstParagraph"/>
      </w:pPr>
      <w:r>
        <w:t xml:space="preserve">Results for the base case model provided estimates of biological reference points for NP SWO and included trends in estimates of total stock biomass, female SSB, recruitment, and F, along with a Kobe plot indicating stock status over time.</w:t>
      </w:r>
    </w:p>
    <w:bookmarkEnd w:id="41"/>
    <w:bookmarkStart w:id="42" w:name="model-convergence"/>
    <w:p>
      <w:pPr>
        <w:pStyle w:val="Heading3"/>
      </w:pPr>
      <w:r>
        <w:t xml:space="preserve">Model Convergence</w:t>
      </w:r>
    </w:p>
    <w:p>
      <w:pPr>
        <w:pStyle w:val="FirstParagraph"/>
      </w:pPr>
      <w:r>
        <w:t xml:space="preserve">All estimated parameters in the base case model were within the set bounds, and the final gradient of the model was &lt;0.0001 and the hessian matrix for the parameter estimates was positive definite, which indicated that the model had converged to a local or global minimum. Results from 100 model runs with different random initial starting values for estimated parameters using the internal</w:t>
      </w:r>
      <w:r>
        <w:t xml:space="preserve"> </w:t>
      </w:r>
      <w:r>
        <w:t xml:space="preserve">“</w:t>
      </w:r>
      <w:r>
        <w:t xml:space="preserve">jitter</w:t>
      </w:r>
      <w:r>
        <w:t xml:space="preserve">”</w:t>
      </w:r>
      <w:r>
        <w:t xml:space="preserve"> </w:t>
      </w:r>
      <w:r>
        <w:t xml:space="preserve">routine in SS3 supported the result that a global minimum was obtained (i.e., there was no evidence of a lack of convergence to a global minimum,</w:t>
      </w:r>
      <w:r>
        <w:t xml:space="preserve"> </w:t>
      </w:r>
      <w:hyperlink w:anchor="fig-jitter">
        <w:r>
          <w:rPr>
            <w:rStyle w:val="Hyperlink"/>
          </w:rPr>
          <w:t xml:space="preserve">Figure 10</w:t>
        </w:r>
      </w:hyperlink>
      <w:r>
        <w:t xml:space="preserve">).</w:t>
      </w:r>
    </w:p>
    <w:bookmarkEnd w:id="42"/>
    <w:bookmarkStart w:id="49" w:name="model-diagnostics-1"/>
    <w:p>
      <w:pPr>
        <w:pStyle w:val="Heading3"/>
      </w:pPr>
      <w:r>
        <w:t xml:space="preserve">Model Diagnostics</w:t>
      </w:r>
    </w:p>
    <w:p>
      <w:pPr>
        <w:pStyle w:val="FirstParagraph"/>
      </w:pPr>
      <w:hyperlink w:anchor="fig-OverallLikelihood">
        <w:r>
          <w:rPr>
            <w:rStyle w:val="Hyperlink"/>
          </w:rPr>
          <w:t xml:space="preserve">Figure 11</w:t>
        </w:r>
      </w:hyperlink>
      <w:r>
        <w:t xml:space="preserve"> </w:t>
      </w:r>
      <w:r>
        <w:t xml:space="preserve">showed the results of the likelihood profile on virgin recruitment (ln(R</w:t>
      </w:r>
      <w:r>
        <w:rPr>
          <w:vertAlign w:val="subscript"/>
        </w:rPr>
        <w:t xml:space="preserve">0</w:t>
      </w:r>
      <w:r>
        <w:t xml:space="preserve">))for each data component. Detailed information on changes in negative log-likelihoods among the various fishery data sources are shown in</w:t>
      </w:r>
      <w:r>
        <w:t xml:space="preserve"> </w:t>
      </w:r>
      <w:hyperlink w:anchor="tbl-CPUElike">
        <w:r>
          <w:rPr>
            <w:rStyle w:val="Hyperlink"/>
          </w:rPr>
          <w:t xml:space="preserve">Table 8</w:t>
        </w:r>
      </w:hyperlink>
      <w:r>
        <w:t xml:space="preserve"> </w:t>
      </w:r>
      <w:r>
        <w:t xml:space="preserve">and</w:t>
      </w:r>
      <w:r>
        <w:t xml:space="preserve"> </w:t>
      </w:r>
      <w:hyperlink w:anchor="tbl-lengthlike">
        <w:r>
          <w:rPr>
            <w:rStyle w:val="Hyperlink"/>
          </w:rPr>
          <w:t xml:space="preserve">Table 9</w:t>
        </w:r>
      </w:hyperlink>
      <w:r>
        <w:t xml:space="preserve"> </w:t>
      </w:r>
      <w:r>
        <w:t xml:space="preserve">and</w:t>
      </w:r>
      <w:r>
        <w:t xml:space="preserve"> </w:t>
      </w:r>
      <w:hyperlink w:anchor="fig-CPUELikelihood">
        <w:r>
          <w:rPr>
            <w:rStyle w:val="Hyperlink"/>
          </w:rPr>
          <w:t xml:space="preserve">Figure 12</w:t>
        </w:r>
      </w:hyperlink>
      <w:r>
        <w:t xml:space="preserve"> </w:t>
      </w:r>
      <w:r>
        <w:t xml:space="preserve">and</w:t>
      </w:r>
      <w:r>
        <w:t xml:space="preserve"> </w:t>
      </w:r>
      <w:hyperlink w:anchor="fig-SizeLikelihood">
        <w:r>
          <w:rPr>
            <w:rStyle w:val="Hyperlink"/>
          </w:rPr>
          <w:t xml:space="preserve">Figure 13</w:t>
        </w:r>
      </w:hyperlink>
      <w:r>
        <w:t xml:space="preserve">.</w:t>
      </w:r>
    </w:p>
    <w:p>
      <w:pPr>
        <w:pStyle w:val="BodyText"/>
      </w:pPr>
      <w:r>
        <w:t xml:space="preserve">Changes in the likelihood of each data component indicated how informative that data component was to the overall estimated model fit. Ideally, relative abundance indices should be the primary sources of information on the population scale in a model (Francis, 2011).</w:t>
      </w:r>
    </w:p>
    <w:p>
      <w:pPr>
        <w:pStyle w:val="BodyText"/>
      </w:pPr>
      <w:r>
        <w:t xml:space="preserve">There was a reasonable about of information in the size data and survey (CPUE) data to inform the lower bound of R</w:t>
      </w:r>
      <w:r>
        <w:rPr>
          <w:vertAlign w:val="subscript"/>
        </w:rPr>
        <w:t xml:space="preserve">0</w:t>
      </w:r>
      <w:r>
        <w:t xml:space="preserve">, but only the size composition data contributed to an estimate of the upper bound of R</w:t>
      </w:r>
      <w:r>
        <w:rPr>
          <w:vertAlign w:val="subscript"/>
        </w:rPr>
        <w:t xml:space="preserve">0</w:t>
      </w:r>
      <w:r>
        <w:t xml:space="preserve"> </w:t>
      </w:r>
      <w:r>
        <w:t xml:space="preserve">(</w:t>
      </w:r>
      <w:hyperlink w:anchor="fig-OverallLikelihood">
        <w:r>
          <w:rPr>
            <w:rStyle w:val="Hyperlink"/>
          </w:rPr>
          <w:t xml:space="preserve">Figure 11</w:t>
        </w:r>
      </w:hyperlink>
      <w:r>
        <w:t xml:space="preserve">). Generally, all the data agreed upon the maximum likelihood estimate of ln(R</w:t>
      </w:r>
      <w:r>
        <w:rPr>
          <w:vertAlign w:val="subscript"/>
        </w:rPr>
        <w:t xml:space="preserve">0</w:t>
      </w:r>
      <w:r>
        <w:t xml:space="preserve">) = 6.84. The Chinese Taipei size composition data contributed the most to the estimate of ln(R</w:t>
      </w:r>
      <w:r>
        <w:rPr>
          <w:vertAlign w:val="subscript"/>
        </w:rPr>
        <w:t xml:space="preserve">0</w:t>
      </w:r>
      <w:r>
        <w:t xml:space="preserve">) (</w:t>
      </w:r>
      <w:hyperlink w:anchor="fig-SizeLikelihood">
        <w:r>
          <w:rPr>
            <w:rStyle w:val="Hyperlink"/>
          </w:rPr>
          <w:t xml:space="preserve">Figure 13</w:t>
        </w:r>
      </w:hyperlink>
      <w:r>
        <w:t xml:space="preserve">), and the Japanese longline late CPUE index in area 1 and the US longline deep-set sector CPUE index contributed to most to the survey estimate of ln(R~0) (</w:t>
      </w:r>
      <w:hyperlink w:anchor="fig-CPUELikelihood">
        <w:r>
          <w:rPr>
            <w:rStyle w:val="Hyperlink"/>
          </w:rPr>
          <w:t xml:space="preserve">Figure 12</w:t>
        </w:r>
      </w:hyperlink>
      <w:r>
        <w:t xml:space="preserve">).</w:t>
      </w:r>
    </w:p>
    <w:p>
      <w:pPr>
        <w:pStyle w:val="BodyText"/>
      </w:pPr>
      <w:r>
        <w:t xml:space="preserve">There were some differences in the location of the minimum negative log-likelihood along the R</w:t>
      </w:r>
      <w:r>
        <w:rPr>
          <w:vertAlign w:val="subscript"/>
        </w:rPr>
        <w:t xml:space="preserve">0</w:t>
      </w:r>
      <w:r>
        <w:t xml:space="preserve"> </w:t>
      </w:r>
      <w:r>
        <w:t xml:space="preserve">profile observed among data likelihood components for the base case model. The two-stage Francis approach seemed to have reduced the conflict, but did not eliminate it.</w:t>
      </w:r>
    </w:p>
    <w:bookmarkStart w:id="43" w:name="goodness-of-fit-indices-of-abundance-1"/>
    <w:p>
      <w:pPr>
        <w:pStyle w:val="Heading4"/>
      </w:pPr>
      <w:r>
        <w:t xml:space="preserve">Goodness-of-Fit Indices of Abundance</w:t>
      </w:r>
    </w:p>
    <w:p>
      <w:pPr>
        <w:pStyle w:val="FirstParagraph"/>
      </w:pPr>
      <w:r>
        <w:t xml:space="preserve">Goodness-of-fit diagnostics were presented in</w:t>
      </w:r>
      <w:r>
        <w:t xml:space="preserve"> </w:t>
      </w:r>
      <w:hyperlink w:anchor="tbl-CPUErmse">
        <w:r>
          <w:rPr>
            <w:rStyle w:val="Hyperlink"/>
          </w:rPr>
          <w:t xml:space="preserve">Table 5</w:t>
        </w:r>
      </w:hyperlink>
      <w:r>
        <w:t xml:space="preserve">, and plots of predicted and observed CPUE by fishery for the base case model were shown in</w:t>
      </w:r>
      <w:r>
        <w:t xml:space="preserve"> </w:t>
      </w:r>
      <w:hyperlink w:anchor="fig-ExpCPUE">
        <w:r>
          <w:rPr>
            <w:rStyle w:val="Hyperlink"/>
          </w:rPr>
          <w:t xml:space="preserve">Figure 14</w:t>
        </w:r>
      </w:hyperlink>
      <w:r>
        <w:t xml:space="preserve">.</w:t>
      </w:r>
    </w:p>
    <w:p>
      <w:pPr>
        <w:pStyle w:val="BodyText"/>
      </w:pPr>
      <w:r>
        <w:t xml:space="preserve">The fit to the CPUE indices can be summarized into two groups by the contribution to the total likelihood (contributed group of S1, S2, S3, S4, S6, and S7; uncontributed group of S5 and S8).</w:t>
      </w:r>
      <w:r>
        <w:t xml:space="preserve"> </w:t>
      </w:r>
      <w:hyperlink w:anchor="tbl-CPUErmse">
        <w:r>
          <w:rPr>
            <w:rStyle w:val="Hyperlink"/>
          </w:rPr>
          <w:t xml:space="preserve">Table 5</w:t>
        </w:r>
      </w:hyperlink>
      <w:r>
        <w:t xml:space="preserve"> </w:t>
      </w:r>
      <w:r>
        <w:t xml:space="preserve">showed that RMSE was smaller than 0.3 for all indices except for S5. This result indicates that the model fit to these CPUE indices were good.</w:t>
      </w:r>
    </w:p>
    <w:bookmarkEnd w:id="43"/>
    <w:bookmarkStart w:id="44" w:name="Xf9ce7631cfa87549b2630027ffea0fb1d919f1c"/>
    <w:p>
      <w:pPr>
        <w:pStyle w:val="Heading4"/>
      </w:pPr>
      <w:r>
        <w:t xml:space="preserve">Residuals Analysis of Size Composition Data</w:t>
      </w:r>
    </w:p>
    <w:p>
      <w:pPr>
        <w:pStyle w:val="FirstParagraph"/>
      </w:pPr>
      <w:r>
        <w:t xml:space="preserve">Comparisons between the observed and expected mean values of length composition data from Francis (2011) were used for model diagnostics.</w:t>
      </w:r>
      <w:r>
        <w:t xml:space="preserve"> </w:t>
      </w:r>
      <w:hyperlink w:anchor="fig-SizeCompFits">
        <w:r>
          <w:rPr>
            <w:rStyle w:val="Hyperlink"/>
          </w:rPr>
          <w:t xml:space="preserve">Figure 15</w:t>
        </w:r>
      </w:hyperlink>
      <w:r>
        <w:t xml:space="preserve"> </w:t>
      </w:r>
      <w:r>
        <w:t xml:space="preserve">shows the 95% credible intervals for mean value for the nine length composition data sets. The model fit passed through almost all of the credible intervals.</w:t>
      </w:r>
    </w:p>
    <w:p>
      <w:pPr>
        <w:pStyle w:val="BodyText"/>
      </w:pPr>
      <w:r>
        <w:t xml:space="preserve">Fits to the annual length compositions by fleet could be improved (</w:t>
      </w:r>
      <w:hyperlink w:anchor="fig-SizeCompResid">
        <w:r>
          <w:rPr>
            <w:rStyle w:val="Hyperlink"/>
          </w:rPr>
          <w:t xml:space="preserve">Figure 16</w:t>
        </w:r>
      </w:hyperlink>
      <w:r>
        <w:t xml:space="preserve">), with few obvious systematic patterns observed in the residuals (e.g., patterns of positive or negative residuals) making it difficult to objectively determine how to improve the fits. This is an 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pPr>
        <w:pStyle w:val="BodyText"/>
      </w:pPr>
      <w:r>
        <w:t xml:space="preserve">Assuming standardized residuals were normally distributed, 95% of the measurements would fall within 2 standard deviations of the mean. The majority of Pearson residuals did meet this criteria, although F3 and F8, the U.S. longline shallow-set data in the early and late periods showed stronger residual patterns when compared to the other fleets (</w:t>
      </w:r>
      <w:hyperlink w:anchor="fig-SizeCompResid">
        <w:r>
          <w:rPr>
            <w:rStyle w:val="Hyperlink"/>
          </w:rPr>
          <w:t xml:space="preserve">Figure 16</w:t>
        </w:r>
      </w:hyperlink>
      <w:r>
        <w:t xml:space="preserve">).</w:t>
      </w:r>
    </w:p>
    <w:p>
      <w:pPr>
        <w:pStyle w:val="BodyText"/>
      </w:pPr>
      <w:r>
        <w:t xml:space="preserve">Overall, the model fit the length modes in length composition data aggregated by fishery fairly well using the input effective sample sizes (</w:t>
      </w:r>
      <w:hyperlink w:anchor="fig-SizeAggFits">
        <w:r>
          <w:rPr>
            <w:rStyle w:val="Hyperlink"/>
          </w:rPr>
          <w:t xml:space="preserve">Figure 6</w:t>
        </w:r>
      </w:hyperlink>
      <w:r>
        <w:t xml:space="preserve">). However, F4 still showed some misfit.</w:t>
      </w:r>
    </w:p>
    <w:bookmarkEnd w:id="44"/>
    <w:bookmarkStart w:id="45" w:name="runs-test-1"/>
    <w:p>
      <w:pPr>
        <w:pStyle w:val="Heading4"/>
      </w:pPr>
      <w:r>
        <w:t xml:space="preserve">Runs test</w:t>
      </w:r>
    </w:p>
    <w:p>
      <w:pPr>
        <w:pStyle w:val="FirstParagraph"/>
      </w:pPr>
      <w:r>
        <w:t xml:space="preserve">The CPUE indices for all fleets included in the likelihood (S1 - S4, and S7) passed runs test (</w:t>
      </w:r>
      <w:hyperlink w:anchor="fig-CPUERunstest">
        <w:r>
          <w:rPr>
            <w:rStyle w:val="Hyperlink"/>
          </w:rPr>
          <w:t xml:space="preserve">Figure 17</w:t>
        </w:r>
      </w:hyperlink>
      <w:r>
        <w:t xml:space="preserve">) that indicated the model fitted well. S5 and S8 were not fit in the likelihood, so we expect some mis-fit.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Hyperlink"/>
          </w:rPr>
          <w:t xml:space="preserve">Figure 18</w:t>
        </w:r>
      </w:hyperlink>
      <w:r>
        <w:t xml:space="preserve">). The length-composition data for F1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F1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cause problems when fitting. In adddition, the aggreate distribution of the size composition data for this fleet has sharp peaks at a few size classes, which causes issues in estimating selectivity and indicates that these data should be evaluated more closely for inclusion in the future.</w:t>
      </w:r>
    </w:p>
    <w:bookmarkEnd w:id="45"/>
    <w:bookmarkStart w:id="46" w:name="retrospective-analysis-1"/>
    <w:p>
      <w:pPr>
        <w:pStyle w:val="Heading4"/>
      </w:pPr>
      <w:r>
        <w:t xml:space="preserve">Retrospective Analysis</w:t>
      </w:r>
    </w:p>
    <w:p>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w:t>
      </w:r>
      <w:r>
        <w:t xml:space="preserve"> </w:t>
      </w:r>
      <w:hyperlink w:anchor="fig-retros">
        <w:r>
          <w:rPr>
            <w:rStyle w:val="Hyperlink"/>
          </w:rPr>
          <w:t xml:space="preserve">Figure 19</w:t>
        </w:r>
      </w:hyperlink>
      <w:r>
        <w:t xml:space="preserve">. The trajectories of estimated SSB and F showed that there was a slight tendency of overestimation for SSB in recent years and underestimation for F. In addition, the Mohn’s rho for SSB (-0.1423661) and F (0.1430661) fell within the range of acceptable values (-0.15 to 0.20), suggesting that the retrospective pattern is not substantial.</w:t>
      </w:r>
    </w:p>
    <w:bookmarkEnd w:id="46"/>
    <w:bookmarkStart w:id="47" w:name="prediciton-skill"/>
    <w:p>
      <w:pPr>
        <w:pStyle w:val="Heading4"/>
      </w:pPr>
      <w:r>
        <w:t xml:space="preserve">Prediciton skill</w:t>
      </w:r>
    </w:p>
    <w:p>
      <w:pPr>
        <w:pStyle w:val="FirstParagraph"/>
      </w:pPr>
      <w:r>
        <w:t xml:space="preserve">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 xml:space="preserve">Figure 20</w:t>
        </w:r>
      </w:hyperlink>
      <w:r>
        <w:t xml:space="preserve">). Comparing the predictive ability of the size composition data, two fleets had good predictive ability (MASE &lt;0.5, F3 and F9), one had moderate predictive ability (MASE &lt;1 and &gt;0.5, F2) and two had poor predictive ability (MASE &lt;1, F1 and F7,</w:t>
      </w:r>
      <w:r>
        <w:t xml:space="preserve"> </w:t>
      </w:r>
      <w:hyperlink w:anchor="fig-LenHCxval">
        <w:r>
          <w:rPr>
            <w:rStyle w:val="Hyperlink"/>
          </w:rPr>
          <w:t xml:space="preserve">Figure 21</w:t>
        </w:r>
      </w:hyperlink>
      <w:r>
        <w:t xml:space="preserve">).</w:t>
      </w:r>
    </w:p>
    <w:bookmarkEnd w:id="47"/>
    <w:bookmarkStart w:id="48" w:name="age-structured-production-model-1"/>
    <w:p>
      <w:pPr>
        <w:pStyle w:val="Heading4"/>
      </w:pPr>
      <w:r>
        <w:t xml:space="preserve">Age-structured production model</w:t>
      </w:r>
    </w:p>
    <w:p>
      <w:pPr>
        <w:pStyle w:val="FirstParagraph"/>
      </w:pPr>
      <w:r>
        <w:t xml:space="preserve">Results from the ASPM model showed a similar population trend as the full model although the scale of the ASPM is larger than the base-case model (</w:t>
      </w:r>
      <w:hyperlink w:anchor="fig-ASPM">
        <w:r>
          <w:rPr>
            <w:rStyle w:val="Hyperlink"/>
          </w:rPr>
          <w:t xml:space="preserve">Figure 22</w:t>
        </w:r>
      </w:hyperlink>
      <w:r>
        <w:t xml:space="preserve">). This suggests that while the Catch and CPUE data do provide information for the production function, the size composition data provide information about the overall scale of the population.</w:t>
      </w:r>
    </w:p>
    <w:bookmarkEnd w:id="48"/>
    <w:bookmarkEnd w:id="49"/>
    <w:bookmarkStart w:id="50" w:name="stock-assessment-results"/>
    <w:p>
      <w:pPr>
        <w:pStyle w:val="Heading3"/>
      </w:pPr>
      <w:r>
        <w:t xml:space="preserve">Stock Assessment Results</w:t>
      </w:r>
    </w:p>
    <w:p>
      <w:pPr>
        <w:pStyle w:val="FirstParagraph"/>
      </w:pPr>
      <w:r>
        <w:t xml:space="preserve">Estimates of population biomass (estimated biomass of age 1 and older fish at the beginning of the year) fluctuated around an average of 82800 mt during 1975-2021 and was estimated to be 88800 mt in 2021 (</w:t>
      </w:r>
      <w:hyperlink w:anchor="tbl-summarystats">
        <w:r>
          <w:rPr>
            <w:rStyle w:val="Hyperlink"/>
          </w:rPr>
          <w:t xml:space="preserve">Table 11</w:t>
        </w:r>
      </w:hyperlink>
      <w:r>
        <w:t xml:space="preserve"> </w:t>
      </w:r>
      <w:r>
        <w:t xml:space="preserve">and</w:t>
      </w:r>
      <w:r>
        <w:t xml:space="preserve"> </w:t>
      </w:r>
      <w:hyperlink w:anchor="fig-summarybiomass2-1">
        <w:r>
          <w:rPr>
            <w:rStyle w:val="Hyperlink"/>
          </w:rPr>
          <w:t xml:space="preserve">Figure 23 (a)</w:t>
        </w:r>
      </w:hyperlink>
      <w:r>
        <w:t xml:space="preserve">). Overall, population biomass has increased slightly over time.</w:t>
      </w:r>
    </w:p>
    <w:p>
      <w:pPr>
        <w:pStyle w:val="BodyText"/>
      </w:pPr>
      <w:r>
        <w:t xml:space="preserve">Initial estimates of female SSB averaged around 27600 mt in the late 1970s. SSB was at its highest level of 35778.2 metric tons in 2021, and was at its minimum of 22415 mt in 1981. Overall, spawning stock biomass has been relatively stable and above SSB</w:t>
      </w:r>
      <w:r>
        <w:rPr>
          <w:vertAlign w:val="subscript"/>
        </w:rPr>
        <w:t xml:space="preserve">MSY</w:t>
      </w:r>
      <w:r>
        <w:t xml:space="preserve"> </w:t>
      </w:r>
      <w:r>
        <w:t xml:space="preserve">for the entirety of the assessment period (</w:t>
      </w:r>
      <w:hyperlink w:anchor="tbl-summarystats">
        <w:r>
          <w:rPr>
            <w:rStyle w:val="Hyperlink"/>
          </w:rPr>
          <w:t xml:space="preserve">Table 11</w:t>
        </w:r>
      </w:hyperlink>
      <w:r>
        <w:t xml:space="preserve"> </w:t>
      </w:r>
      <w:r>
        <w:t xml:space="preserve">and</w:t>
      </w:r>
      <w:r>
        <w:t xml:space="preserve"> </w:t>
      </w:r>
      <w:hyperlink w:anchor="fig-summarybiomass2-2">
        <w:r>
          <w:rPr>
            <w:rStyle w:val="Hyperlink"/>
          </w:rPr>
          <w:t xml:space="preserve">Figure 23 (b)</w:t>
        </w:r>
      </w:hyperlink>
      <w:r>
        <w:t xml:space="preserve">).</w:t>
      </w:r>
    </w:p>
    <w:p>
      <w:pPr>
        <w:pStyle w:val="BodyText"/>
      </w:pPr>
      <w:r>
        <w:t xml:space="preserve">Estimated F (arithmetic average of F for ages 1 – 10) decreased from 0.17 year</w:t>
      </w:r>
      <w:r>
        <w:rPr>
          <w:vertAlign w:val="superscript"/>
        </w:rPr>
        <w:t xml:space="preserve">-1</w:t>
      </w:r>
      <w:r>
        <w:t xml:space="preserve"> </w:t>
      </w:r>
      <w:r>
        <w:t xml:space="preserve">in 1978 to a minimum of 0.087 year</w:t>
      </w:r>
      <w:r>
        <w:rPr>
          <w:vertAlign w:val="superscript"/>
        </w:rPr>
        <w:t xml:space="preserve">-1</w:t>
      </w:r>
      <w:r>
        <w:t xml:space="preserve"> </w:t>
      </w:r>
      <w:r>
        <w:t xml:space="preserve">in 2021 (</w:t>
      </w:r>
      <w:hyperlink w:anchor="tbl-summarystats">
        <w:r>
          <w:rPr>
            <w:rStyle w:val="Hyperlink"/>
          </w:rPr>
          <w:t xml:space="preserve">Table 11</w:t>
        </w:r>
      </w:hyperlink>
      <w:r>
        <w:t xml:space="preserve"> </w:t>
      </w:r>
      <w:r>
        <w:t xml:space="preserve">and</w:t>
      </w:r>
      <w:r>
        <w:t xml:space="preserve"> </w:t>
      </w:r>
      <w:hyperlink w:anchor="fig-summarybiomass2-3">
        <w:r>
          <w:rPr>
            <w:rStyle w:val="Hyperlink"/>
          </w:rPr>
          <w:t xml:space="preserve">Figure 23 (c)</w:t>
        </w:r>
      </w:hyperlink>
      <w:r>
        <w:t xml:space="preserve">). It averaged roughly F=0.088 during 2019-2021 or about 51% of F</w:t>
      </w:r>
      <w:r>
        <w:rPr>
          <w:vertAlign w:val="subscript"/>
        </w:rPr>
        <w:t xml:space="preserve">MSY</w:t>
      </w:r>
      <w:r>
        <w:t xml:space="preserve"> </w:t>
      </w:r>
      <w:r>
        <w:t xml:space="preserve">with a relative fishing mortality of F/F</w:t>
      </w:r>
      <w:r>
        <w:rPr>
          <w:vertAlign w:val="subscript"/>
        </w:rPr>
        <w:t xml:space="preserve">MSY</w:t>
      </w:r>
      <w:r>
        <w:t xml:space="preserve"> </w:t>
      </w:r>
      <w:r>
        <w:t xml:space="preserve">= 0.087 in 2021. Fishing mortality has been below F</w:t>
      </w:r>
      <w:r>
        <w:rPr>
          <w:vertAlign w:val="subscript"/>
        </w:rPr>
        <w:t xml:space="preserve">MSY</w:t>
      </w:r>
      <w:r>
        <w:t xml:space="preserve"> </w:t>
      </w:r>
      <w:r>
        <w:t xml:space="preserve">since the beginning of the assessment time period and has had a declining trend with the exception of a high peak in 1998 coinciding with high catch by the US LL fleet.</w:t>
      </w:r>
    </w:p>
    <w:p>
      <w:pPr>
        <w:pStyle w:val="BodyText"/>
      </w:pPr>
      <w:r>
        <w:t xml:space="preserve">Recruitment (age-0 fish) estimates averaged approximately 838000 during 1975-2021. While the overall pattern of recruitment varied, there was no apparent trend in recruitment strength over time (</w:t>
      </w:r>
      <w:hyperlink w:anchor="tbl-summarystats">
        <w:r>
          <w:rPr>
            <w:rStyle w:val="Hyperlink"/>
          </w:rPr>
          <w:t xml:space="preserve">Table 11</w:t>
        </w:r>
      </w:hyperlink>
      <w:r>
        <w:t xml:space="preserve"> </w:t>
      </w:r>
      <w:r>
        <w:t xml:space="preserve">and</w:t>
      </w:r>
      <w:r>
        <w:t xml:space="preserve"> </w:t>
      </w:r>
      <w:hyperlink w:anchor="fig-summarybiomass2-4">
        <w:r>
          <w:rPr>
            <w:rStyle w:val="Hyperlink"/>
          </w:rPr>
          <w:t xml:space="preserve">Figure 23 (d)</w:t>
        </w:r>
      </w:hyperlink>
      <w:r>
        <w:t xml:space="preserve">). Overall, total annual catches are declining, catch per unit effort is increasing, and recruitment is relatively stable.</w:t>
      </w:r>
    </w:p>
    <w:bookmarkEnd w:id="50"/>
    <w:bookmarkStart w:id="51" w:name="biological-reference-points"/>
    <w:p>
      <w:pPr>
        <w:pStyle w:val="Heading3"/>
      </w:pPr>
      <w:r>
        <w:t xml:space="preserve">Biological Reference Points</w:t>
      </w:r>
    </w:p>
    <w:p>
      <w:pPr>
        <w:pStyle w:val="FirstParagraph"/>
      </w:pPr>
      <w:r>
        <w:t xml:space="preserve">MSY-based biological reference points were computed for the base case model with SS (</w:t>
      </w:r>
      <w:hyperlink w:anchor="tbl-summarystats">
        <w:r>
          <w:rPr>
            <w:rStyle w:val="Hyperlink"/>
          </w:rPr>
          <w:t xml:space="preserve">Table 11</w:t>
        </w:r>
      </w:hyperlink>
      <w:r>
        <w:t xml:space="preserve">). The point estimate of MSY (C</w:t>
      </w:r>
      <w:r>
        <w:rPr>
          <w:vertAlign w:val="subscript"/>
        </w:rPr>
        <w:t xml:space="preserve">MSY</w:t>
      </w:r>
      <w:r>
        <w:t xml:space="preserve">: annual catch at F</w:t>
      </w:r>
      <w:r>
        <w:rPr>
          <w:vertAlign w:val="subscript"/>
        </w:rPr>
        <w:t xml:space="preserve">MSY</w:t>
      </w:r>
      <w:r>
        <w:t xml:space="preserve">) was calculated to be 14924 mt. The point estimate of the SSB to produce MSY (adult female biomass) was 16388 mt. The point estimate of F</w:t>
      </w:r>
      <w:r>
        <w:rPr>
          <w:vertAlign w:val="subscript"/>
        </w:rPr>
        <w:t xml:space="preserve">MSY</w:t>
      </w:r>
      <w:r>
        <w:t xml:space="preserve">, the fishing mortality rate to produce SSB</w:t>
      </w:r>
      <w:r>
        <w:rPr>
          <w:vertAlign w:val="subscript"/>
        </w:rPr>
        <w:t xml:space="preserve">MSY</w:t>
      </w:r>
      <w:r>
        <w:t xml:space="preserve"> </w:t>
      </w:r>
      <w:r>
        <w:t xml:space="preserve">(average fishing mortality on ages 1 – 10) was 0.18 and the corresponding equilibrium value of spawning potential ratio at SSB</w:t>
      </w:r>
      <w:r>
        <w:rPr>
          <w:vertAlign w:val="subscript"/>
        </w:rPr>
        <w:t xml:space="preserve">MSY</w:t>
      </w:r>
      <w:r>
        <w:t xml:space="preserve"> </w:t>
      </w:r>
      <w:r>
        <w:t xml:space="preserve">was 19%.</w:t>
      </w:r>
    </w:p>
    <w:bookmarkEnd w:id="51"/>
    <w:bookmarkStart w:id="52" w:name="stock-status"/>
    <w:p>
      <w:pPr>
        <w:pStyle w:val="Heading3"/>
      </w:pPr>
      <w:r>
        <w:t xml:space="preserve">Stock Status</w:t>
      </w:r>
    </w:p>
    <w:p>
      <w:pPr>
        <w:pStyle w:val="FirstParagraph"/>
      </w:pPr>
      <w:r>
        <w:t xml:space="preserve">There are no defined reference points for North Pacific swordfish in the Western and Central Pacific Fisheries Commission (WCPFC), therefore stock status is based upon maximum sustainable yeild (MSY) refernce points. The current or recent 3-year average spawning biomass of 34900 mt (average for 2019-2021) was 2.5 times greater than SSB</w:t>
      </w:r>
      <w:r>
        <w:rPr>
          <w:vertAlign w:val="subscript"/>
        </w:rPr>
        <w:t xml:space="preserve">MSY</w:t>
      </w:r>
      <w:r>
        <w:t xml:space="preserve"> </w:t>
      </w:r>
      <w:r>
        <w:t xml:space="preserve">and the current fishing mortality (average for ages 1 – 10 during 2019-2021) was 51% above F</w:t>
      </w:r>
      <w:r>
        <w:rPr>
          <w:vertAlign w:val="subscript"/>
        </w:rPr>
        <w:t xml:space="preserve">MSY</w:t>
      </w:r>
      <w:r>
        <w:t xml:space="preserve">. The base case model indicated that under current conditions the NP SWO stock was very likely not overfished (&gt;99% probability) and was very likely not subject to overfishing (&gt;99% probability) relative to MSY-based reference points (</w:t>
      </w:r>
      <w:hyperlink w:anchor="fig-Kobe2">
        <w:r>
          <w:rPr>
            <w:rStyle w:val="Hyperlink"/>
          </w:rPr>
          <w:t xml:space="preserve">Figure 24</w:t>
        </w:r>
      </w:hyperlink>
      <w:r>
        <w:t xml:space="preserve">).</w:t>
      </w:r>
    </w:p>
    <w:bookmarkEnd w:id="52"/>
    <w:bookmarkStart w:id="53" w:name="sensitivity-analyses-1"/>
    <w:p>
      <w:pPr>
        <w:pStyle w:val="Heading3"/>
      </w:pPr>
      <w:r>
        <w:t xml:space="preserve">Sensitivity Analyses</w:t>
      </w:r>
    </w:p>
    <w:p>
      <w:pPr>
        <w:pStyle w:val="FirstParagraph"/>
      </w:pPr>
      <w:r>
        <w:t xml:space="preserve">The BILLWG completed all 24 sensitivity runs and compared the SSB and the F trajectories to those of the base-case model (</w:t>
      </w:r>
      <w:hyperlink w:anchor="fig-Sensitivity">
        <w:r>
          <w:rPr>
            <w:rStyle w:val="Hyperlink"/>
          </w:rPr>
          <w:t xml:space="preserve">Figure 25</w:t>
        </w:r>
      </w:hyperlink>
      <w:r>
        <w:t xml:space="preserve">). The BILLWG also produced a Kobe plot to compare the stock status of the recent years among 24 sensitivity runs. The result showed that there was clear pattern of the stock status (improvement or deterioration,</w:t>
      </w:r>
      <w:r>
        <w:t xml:space="preserve"> </w:t>
      </w:r>
      <w:hyperlink w:anchor="fig-sensitvityKobe">
        <w:r>
          <w:rPr>
            <w:rStyle w:val="Hyperlink"/>
          </w:rPr>
          <w:t xml:space="preserve">Figure 26</w:t>
        </w:r>
      </w:hyperlink>
      <w:r>
        <w:t xml:space="preserve">).</w:t>
      </w:r>
    </w:p>
    <w:p>
      <w:pPr>
        <w:pStyle w:val="BodyText"/>
      </w:pPr>
      <w:r>
        <w:t xml:space="preserve">The sensitivity analyses run for this assessment indicated that the model is not very sensitive to alternative parameterizations, alternative catch time series, and alternative model configurations. All of the sensitivities run indicated the stock was not overfished and overfishing was not occuring, with the majority of the runs overlapping considerably with the base-case model (</w:t>
      </w:r>
      <w:hyperlink w:anchor="fig-sensitvityKobe">
        <w:r>
          <w:rPr>
            <w:rStyle w:val="Hyperlink"/>
          </w:rPr>
          <w:t xml:space="preserve">Figure 26</w:t>
        </w:r>
      </w:hyperlink>
      <w:r>
        <w:t xml:space="preserve">).</w:t>
      </w:r>
    </w:p>
    <w:bookmarkEnd w:id="53"/>
    <w:bookmarkStart w:id="54" w:name="stock-projections"/>
    <w:p>
      <w:pPr>
        <w:pStyle w:val="Heading3"/>
      </w:pPr>
      <w:r>
        <w:t xml:space="preserve">Stock Projections</w:t>
      </w:r>
    </w:p>
    <w:p>
      <w:pPr>
        <w:pStyle w:val="FirstParagraph"/>
      </w:pPr>
      <w:r>
        <w:t xml:space="preserve">Future projection showed the trajectories of SSB and catch as well as mean values during 2022-2031 for five scenarios (</w:t>
      </w:r>
      <w:hyperlink w:anchor="tbl-projections">
        <w:r>
          <w:rPr>
            <w:rStyle w:val="Hyperlink"/>
          </w:rPr>
          <w:t xml:space="preserve">Table 12</w:t>
        </w:r>
      </w:hyperlink>
      <w:r>
        <w:t xml:space="preserve"> </w:t>
      </w:r>
      <w:r>
        <w:t xml:space="preserve">and</w:t>
      </w:r>
      <w:r>
        <w:t xml:space="preserve"> </w:t>
      </w:r>
      <w:hyperlink w:anchor="fig-projectionssb">
        <w:r>
          <w:rPr>
            <w:rStyle w:val="Hyperlink"/>
          </w:rPr>
          <w:t xml:space="preserve">Figure 27</w:t>
        </w:r>
      </w:hyperlink>
      <w:r>
        <w:t xml:space="preserve"> </w:t>
      </w:r>
      <w:r>
        <w:t xml:space="preserve">and</w:t>
      </w:r>
      <w:r>
        <w:t xml:space="preserve"> </w:t>
      </w:r>
      <w:hyperlink w:anchor="fig-projectioncatch">
        <w:r>
          <w:rPr>
            <w:rStyle w:val="Hyperlink"/>
          </w:rPr>
          <w:t xml:space="preserve">Figure 28</w:t>
        </w:r>
      </w:hyperlink>
      <w:r>
        <w:t xml:space="preserve">). For each scenario, intial SSB and catch increase as all projections use higher Fs than the F in the final year of the assessment. For scenario 5, F~status quo~,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fishing mortality.</w:t>
      </w:r>
    </w:p>
    <w:bookmarkEnd w:id="54"/>
    <w:bookmarkEnd w:id="55"/>
    <w:bookmarkStart w:id="57" w:name="conclusions"/>
    <w:p>
      <w:pPr>
        <w:pStyle w:val="Heading2"/>
      </w:pPr>
      <w:r>
        <w:t xml:space="preserve">Conclusions</w:t>
      </w:r>
    </w:p>
    <w:bookmarkStart w:id="56" w:name="conservation-information"/>
    <w:p>
      <w:pPr>
        <w:pStyle w:val="Heading3"/>
      </w:pPr>
      <w:r>
        <w:t xml:space="preserve">Conservation information</w:t>
      </w:r>
    </w:p>
    <w:p>
      <w:pPr>
        <w:pStyle w:val="FirstParagraph"/>
      </w:pPr>
      <w:r>
        <w:t xml:space="preserve">The NP SWO stock has produced annual yields of around 11500 mt per year since 2016, or about 2/3 of the MSY catch amount. This suggests the stock may be able to support somewhat higher yields. Swordfish stock status is positive with no evidence of excess fishing mortality above F</w:t>
      </w:r>
      <w:r>
        <w:rPr>
          <w:vertAlign w:val="subscript"/>
        </w:rPr>
        <w:t xml:space="preserve">MSY</w:t>
      </w:r>
      <w:r>
        <w:t xml:space="preserve"> </w:t>
      </w:r>
      <w:r>
        <w:t xml:space="preserve">or substantial depletion of spawning potential. It was also noted that retrospective analyses show that the assessment model appears to underestimate spawning potential in recent years.</w:t>
      </w:r>
    </w:p>
    <w:bookmarkEnd w:id="56"/>
    <w:bookmarkEnd w:id="57"/>
    <w:bookmarkStart w:id="58" w:name="acknowledgments"/>
    <w:p>
      <w:pPr>
        <w:pStyle w:val="Heading2"/>
      </w:pPr>
      <w:r>
        <w:t xml:space="preserve">Acknowledgments</w:t>
      </w:r>
    </w:p>
    <w:p>
      <w:pPr>
        <w:pStyle w:val="FirstParagraph"/>
      </w:pPr>
      <w:r>
        <w:t xml:space="preserve">We thank the fishery stakeholders, data providers, and participants in the ISC Billfish Working Group meetings for their help in preparing and providing information for this assessment of North Pacific swordfish.</w:t>
      </w:r>
    </w:p>
    <w:bookmarkEnd w:id="58"/>
    <w:bookmarkStart w:id="59" w:name="references"/>
    <w:p>
      <w:pPr>
        <w:pStyle w:val="Heading2"/>
      </w:pPr>
      <w:r>
        <w:t xml:space="preserve">References</w:t>
      </w:r>
    </w:p>
    <w:bookmarkEnd w:id="59"/>
    <w:bookmarkStart w:id="72" w:name="tables"/>
    <w:p>
      <w:pPr>
        <w:pStyle w:val="Heading2"/>
      </w:pPr>
      <w:r>
        <w:t xml:space="preserve">Tables</w:t>
      </w:r>
    </w:p>
    <w:bookmarkStart w:id="60" w:name="tbl-fleets"/>
    <w:p>
      <w:pPr>
        <w:pStyle w:val="TableCaption"/>
      </w:pPr>
      <w:r>
        <w:t xml:space="preserve">Table 1: Descriptions of fisheries catch and abundance indices included in the base case model for the stock assessment including fishing countries, time-period, and reference sources for CPUE standardizations.</w:t>
      </w:r>
    </w:p>
    <w:tbl>
      <w:tblPr>
        <w:tblStyle w:val="Table"/>
        <w:tblW w:type="pct" w:w="5000"/>
        <w:tblLook w:firstRow="1" w:lastRow="0" w:firstColumn="0" w:lastColumn="0" w:noHBand="0" w:noVBand="0" w:val="0020"/>
        <w:tblCaption w:val="Table 1: Descriptions of fisheries catch and abundance indices included in the base case model for the stock assessment including fishing countries, time-period, and reference sources for CPUE standardizations."/>
      </w:tblPr>
      <w:tblGrid>
        <w:gridCol w:w="1320"/>
        <w:gridCol w:w="1320"/>
        <w:gridCol w:w="1320"/>
        <w:gridCol w:w="1320"/>
        <w:gridCol w:w="1320"/>
        <w:gridCol w:w="1320"/>
      </w:tblGrid>
      <w:tr>
        <w:trPr>
          <w:tblHeader w:val="true"/>
        </w:trPr>
        <w:tc>
          <w:tcPr/>
          <w:p>
            <w:pPr>
              <w:pStyle w:val="Compact"/>
              <w:jc w:val="left"/>
            </w:pPr>
            <w:r>
              <w:t xml:space="preserve">Catch Index</w:t>
            </w:r>
          </w:p>
        </w:tc>
        <w:tc>
          <w:tcPr/>
          <w:p>
            <w:pPr>
              <w:pStyle w:val="Compact"/>
              <w:jc w:val="left"/>
            </w:pPr>
            <w:r>
              <w:t xml:space="preserve">Abundance Index</w:t>
            </w:r>
          </w:p>
        </w:tc>
        <w:tc>
          <w:tcPr/>
          <w:p>
            <w:pPr>
              <w:pStyle w:val="Compact"/>
              <w:jc w:val="left"/>
            </w:pPr>
            <w:r>
              <w:t xml:space="preserve">Fleet Name</w:t>
            </w:r>
          </w:p>
        </w:tc>
        <w:tc>
          <w:tcPr/>
          <w:p>
            <w:pPr>
              <w:pStyle w:val="Compact"/>
              <w:jc w:val="left"/>
            </w:pPr>
            <w:r>
              <w:t xml:space="preserve">Time Period</w:t>
            </w:r>
          </w:p>
        </w:tc>
        <w:tc>
          <w:tcPr/>
          <w:p>
            <w:pPr>
              <w:pStyle w:val="Compact"/>
              <w:jc w:val="left"/>
            </w:pPr>
            <w:r>
              <w:t xml:space="preserve">Len Comp used?</w:t>
            </w:r>
          </w:p>
        </w:tc>
        <w:tc>
          <w:tcPr/>
          <w:p>
            <w:pPr>
              <w:pStyle w:val="Compact"/>
              <w:jc w:val="left"/>
            </w:pPr>
            <w:r>
              <w:t xml:space="preserve">Source</w:t>
            </w:r>
          </w:p>
        </w:tc>
      </w:tr>
      <w:tr>
        <w:tc>
          <w:tcPr/>
          <w:p>
            <w:pPr>
              <w:pStyle w:val="Compact"/>
              <w:jc w:val="left"/>
            </w:pPr>
            <w:r>
              <w:t xml:space="preserve">F1</w:t>
            </w:r>
          </w:p>
        </w:tc>
        <w:tc>
          <w:tcPr/>
          <w:p>
            <w:pPr>
              <w:pStyle w:val="Compact"/>
              <w:jc w:val="left"/>
            </w:pPr>
            <w:r>
              <w:t xml:space="preserve">S1 - Y</w:t>
            </w:r>
          </w:p>
        </w:tc>
        <w:tc>
          <w:tcPr/>
          <w:p>
            <w:pPr>
              <w:pStyle w:val="Compact"/>
              <w:jc w:val="left"/>
            </w:pPr>
            <w:r>
              <w:t xml:space="preserve">JPN_WCNPO_OSDWLL_late_Area1</w:t>
            </w:r>
          </w:p>
        </w:tc>
        <w:tc>
          <w:tcPr/>
          <w:p>
            <w:pPr>
              <w:pStyle w:val="Compact"/>
              <w:jc w:val="left"/>
            </w:pPr>
            <w:r>
              <w:t xml:space="preserve">1994-2021</w:t>
            </w:r>
          </w:p>
        </w:tc>
        <w:tc>
          <w:tcPr/>
          <w:p>
            <w:pPr>
              <w:pStyle w:val="Compact"/>
              <w:jc w:val="left"/>
            </w:pPr>
            <w:r>
              <w:t xml:space="preserve">Y</w:t>
            </w:r>
          </w:p>
        </w:tc>
        <w:tc>
          <w:tcPr/>
          <w:p>
            <w:pPr>
              <w:pStyle w:val="Compact"/>
              <w:jc w:val="left"/>
            </w:pPr>
            <w:r>
              <w:t xml:space="preserve">Jusup et al., 2023</w:t>
            </w:r>
          </w:p>
        </w:tc>
      </w:tr>
      <w:tr>
        <w:tc>
          <w:tcPr/>
          <w:p>
            <w:pPr>
              <w:pStyle w:val="Compact"/>
              <w:jc w:val="left"/>
            </w:pPr>
            <w:r>
              <w:t xml:space="preserve">F2</w:t>
            </w:r>
          </w:p>
        </w:tc>
        <w:tc>
          <w:tcPr/>
          <w:p>
            <w:pPr>
              <w:pStyle w:val="Compact"/>
              <w:jc w:val="left"/>
            </w:pPr>
            <w:r>
              <w:t xml:space="preserve">S5 - N</w:t>
            </w:r>
          </w:p>
        </w:tc>
        <w:tc>
          <w:tcPr/>
          <w:p>
            <w:pPr>
              <w:pStyle w:val="Compact"/>
              <w:jc w:val="left"/>
            </w:pPr>
            <w:r>
              <w:t xml:space="preserve">TWN_WCNPO_DWLL_late</w:t>
            </w:r>
          </w:p>
        </w:tc>
        <w:tc>
          <w:tcPr/>
          <w:p>
            <w:pPr>
              <w:pStyle w:val="Compact"/>
              <w:jc w:val="left"/>
            </w:pPr>
            <w:r>
              <w:t xml:space="preserve">2000-2021</w:t>
            </w:r>
          </w:p>
        </w:tc>
        <w:tc>
          <w:tcPr/>
          <w:p>
            <w:pPr>
              <w:pStyle w:val="Compact"/>
              <w:jc w:val="left"/>
            </w:pPr>
            <w:r>
              <w:t xml:space="preserve">Y</w:t>
            </w:r>
          </w:p>
        </w:tc>
        <w:tc>
          <w:tcPr/>
          <w:p>
            <w:pPr>
              <w:pStyle w:val="Compact"/>
              <w:jc w:val="left"/>
            </w:pPr>
            <w:r>
              <w:t xml:space="preserve">Hsu and Chang, 2023</w:t>
            </w:r>
          </w:p>
        </w:tc>
      </w:tr>
      <w:tr>
        <w:tc>
          <w:tcPr/>
          <w:p>
            <w:pPr>
              <w:pStyle w:val="Compact"/>
              <w:jc w:val="left"/>
            </w:pPr>
            <w:r>
              <w:t xml:space="preserve">F3</w:t>
            </w:r>
          </w:p>
        </w:tc>
        <w:tc>
          <w:tcPr/>
          <w:p>
            <w:pPr>
              <w:pStyle w:val="Compact"/>
              <w:jc w:val="left"/>
            </w:pPr>
            <w:r>
              <w:t xml:space="preserve">S8 - N</w:t>
            </w:r>
          </w:p>
        </w:tc>
        <w:tc>
          <w:tcPr/>
          <w:p>
            <w:pPr>
              <w:pStyle w:val="Compact"/>
              <w:jc w:val="left"/>
            </w:pPr>
            <w:r>
              <w:t xml:space="preserve">US_WCNPO_LL_shallow_late</w:t>
            </w:r>
          </w:p>
        </w:tc>
        <w:tc>
          <w:tcPr/>
          <w:p>
            <w:pPr>
              <w:pStyle w:val="Compact"/>
              <w:jc w:val="left"/>
            </w:pPr>
            <w:r>
              <w:t xml:space="preserve">2004-2021</w:t>
            </w:r>
          </w:p>
        </w:tc>
        <w:tc>
          <w:tcPr/>
          <w:p>
            <w:pPr>
              <w:pStyle w:val="Compact"/>
              <w:jc w:val="left"/>
            </w:pPr>
            <w:r>
              <w:t xml:space="preserve">Y</w:t>
            </w:r>
          </w:p>
        </w:tc>
        <w:tc>
          <w:tcPr/>
          <w:p>
            <w:pPr>
              <w:pStyle w:val="Compact"/>
              <w:jc w:val="left"/>
            </w:pPr>
            <w:r>
              <w:t xml:space="preserve">Bohaboy and Sculley, 2023</w:t>
            </w:r>
          </w:p>
        </w:tc>
      </w:tr>
      <w:tr>
        <w:tc>
          <w:tcPr/>
          <w:p>
            <w:pPr>
              <w:pStyle w:val="Compact"/>
              <w:jc w:val="left"/>
            </w:pPr>
            <w:r>
              <w:t xml:space="preserve">F4</w:t>
            </w:r>
          </w:p>
        </w:tc>
        <w:tc>
          <w:tcPr/>
          <w:p>
            <w:pPr>
              <w:pStyle w:val="Compact"/>
              <w:jc w:val="left"/>
            </w:pPr>
            <w:r>
              <w:t xml:space="preserve">-</w:t>
            </w:r>
          </w:p>
        </w:tc>
        <w:tc>
          <w:tcPr/>
          <w:p>
            <w:pPr>
              <w:pStyle w:val="Compact"/>
              <w:jc w:val="left"/>
            </w:pPr>
            <w:r>
              <w:t xml:space="preserve">IATTC</w:t>
            </w:r>
          </w:p>
        </w:tc>
        <w:tc>
          <w:tcPr/>
          <w:p>
            <w:pPr>
              <w:pStyle w:val="Compact"/>
              <w:jc w:val="left"/>
            </w:pPr>
            <w:r>
              <w:t xml:space="preserve">1975-2021</w:t>
            </w:r>
          </w:p>
        </w:tc>
        <w:tc>
          <w:tcPr/>
          <w:p>
            <w:pPr>
              <w:pStyle w:val="Compact"/>
              <w:jc w:val="left"/>
            </w:pPr>
            <w:r>
              <w:t xml:space="preserve">Y</w:t>
            </w:r>
          </w:p>
        </w:tc>
        <w:tc>
          <w:tcPr/>
          <w:p>
            <w:pPr>
              <w:pStyle w:val="Compact"/>
              <w:jc w:val="left"/>
            </w:pPr>
            <w:r>
              <w:t xml:space="preserve">-</w:t>
            </w:r>
          </w:p>
        </w:tc>
      </w:tr>
      <w:tr>
        <w:tc>
          <w:tcPr/>
          <w:p>
            <w:pPr>
              <w:pStyle w:val="Compact"/>
              <w:jc w:val="left"/>
            </w:pPr>
            <w:r>
              <w:t xml:space="preserve">F5</w:t>
            </w:r>
          </w:p>
        </w:tc>
        <w:tc>
          <w:tcPr/>
          <w:p>
            <w:pPr>
              <w:pStyle w:val="Compact"/>
              <w:jc w:val="left"/>
            </w:pPr>
            <w:r>
              <w:t xml:space="preserve">-</w:t>
            </w:r>
          </w:p>
        </w:tc>
        <w:tc>
          <w:tcPr/>
          <w:p>
            <w:pPr>
              <w:pStyle w:val="Compact"/>
              <w:jc w:val="left"/>
            </w:pPr>
            <w:r>
              <w:t xml:space="preserve">JPN_EPO_OSDWLL</w:t>
            </w:r>
          </w:p>
        </w:tc>
        <w:tc>
          <w:tcPr/>
          <w:p>
            <w:pPr>
              <w:pStyle w:val="Compact"/>
              <w:jc w:val="left"/>
            </w:pPr>
            <w:r>
              <w:t xml:space="preserve">1975-2016</w:t>
            </w:r>
          </w:p>
        </w:tc>
        <w:tc>
          <w:tcPr/>
          <w:p>
            <w:pPr>
              <w:pStyle w:val="Compact"/>
              <w:jc w:val="left"/>
            </w:pPr>
            <w:r>
              <w:t xml:space="preserve">N</w:t>
            </w:r>
          </w:p>
        </w:tc>
        <w:tc>
          <w:tcPr/>
          <w:p>
            <w:pPr>
              <w:pStyle w:val="Compact"/>
              <w:jc w:val="left"/>
            </w:pPr>
            <w:r>
              <w:t xml:space="preserve">-</w:t>
            </w:r>
          </w:p>
        </w:tc>
      </w:tr>
      <w:tr>
        <w:tc>
          <w:tcPr/>
          <w:p>
            <w:pPr>
              <w:pStyle w:val="Compact"/>
              <w:jc w:val="left"/>
            </w:pPr>
            <w:r>
              <w:t xml:space="preserve">F6</w:t>
            </w:r>
          </w:p>
        </w:tc>
        <w:tc>
          <w:tcPr/>
          <w:p>
            <w:pPr>
              <w:pStyle w:val="Compact"/>
              <w:jc w:val="left"/>
            </w:pPr>
            <w:r>
              <w:t xml:space="preserve">S2 - Y</w:t>
            </w:r>
          </w:p>
        </w:tc>
        <w:tc>
          <w:tcPr/>
          <w:p>
            <w:pPr>
              <w:pStyle w:val="Compact"/>
              <w:jc w:val="left"/>
            </w:pPr>
            <w:r>
              <w:t xml:space="preserve">JPN_WCNPO_OSDWLL_early_area1</w:t>
            </w:r>
          </w:p>
        </w:tc>
        <w:tc>
          <w:tcPr/>
          <w:p>
            <w:pPr>
              <w:pStyle w:val="Compact"/>
              <w:jc w:val="left"/>
            </w:pPr>
            <w:r>
              <w:t xml:space="preserve">1975-1993</w:t>
            </w:r>
          </w:p>
        </w:tc>
        <w:tc>
          <w:tcPr/>
          <w:p>
            <w:pPr>
              <w:pStyle w:val="Compact"/>
              <w:jc w:val="left"/>
            </w:pPr>
            <w:r>
              <w:t xml:space="preserve">Y</w:t>
            </w:r>
          </w:p>
        </w:tc>
        <w:tc>
          <w:tcPr/>
          <w:p>
            <w:pPr>
              <w:pStyle w:val="Compact"/>
              <w:jc w:val="left"/>
            </w:pPr>
            <w:r>
              <w:t xml:space="preserve">Jusup et al., 2023</w:t>
            </w:r>
          </w:p>
        </w:tc>
      </w:tr>
      <w:tr>
        <w:tc>
          <w:tcPr/>
          <w:p>
            <w:pPr>
              <w:pStyle w:val="Compact"/>
              <w:jc w:val="left"/>
            </w:pPr>
            <w:r>
              <w:t xml:space="preserve">F7</w:t>
            </w:r>
          </w:p>
        </w:tc>
        <w:tc>
          <w:tcPr/>
          <w:p>
            <w:pPr>
              <w:pStyle w:val="Compact"/>
              <w:jc w:val="left"/>
            </w:pPr>
            <w:r>
              <w:t xml:space="preserve">-</w:t>
            </w:r>
          </w:p>
        </w:tc>
        <w:tc>
          <w:tcPr/>
          <w:p>
            <w:pPr>
              <w:pStyle w:val="Compact"/>
              <w:jc w:val="left"/>
            </w:pPr>
            <w:r>
              <w:t xml:space="preserve">JPN_WCNPO_CODF</w:t>
            </w:r>
          </w:p>
        </w:tc>
        <w:tc>
          <w:tcPr/>
          <w:p>
            <w:pPr>
              <w:pStyle w:val="Compact"/>
              <w:jc w:val="left"/>
            </w:pPr>
            <w:r>
              <w:t xml:space="preserve">1993-2021</w:t>
            </w:r>
          </w:p>
        </w:tc>
        <w:tc>
          <w:tcPr/>
          <w:p>
            <w:pPr>
              <w:pStyle w:val="Compact"/>
              <w:jc w:val="left"/>
            </w:pPr>
            <w:r>
              <w:t xml:space="preserve">Y</w:t>
            </w:r>
          </w:p>
        </w:tc>
        <w:tc>
          <w:tcPr/>
          <w:p>
            <w:pPr>
              <w:pStyle w:val="Compact"/>
              <w:jc w:val="left"/>
            </w:pPr>
            <w:r>
              <w:t xml:space="preserve">-</w:t>
            </w:r>
          </w:p>
        </w:tc>
      </w:tr>
      <w:tr>
        <w:tc>
          <w:tcPr/>
          <w:p>
            <w:pPr>
              <w:pStyle w:val="Compact"/>
              <w:jc w:val="left"/>
            </w:pPr>
            <w:r>
              <w:t xml:space="preserve">F8</w:t>
            </w:r>
          </w:p>
        </w:tc>
        <w:tc>
          <w:tcPr/>
          <w:p>
            <w:pPr>
              <w:pStyle w:val="Compact"/>
              <w:jc w:val="left"/>
            </w:pPr>
            <w:r>
              <w:t xml:space="preserve">S7 - Y</w:t>
            </w:r>
          </w:p>
        </w:tc>
        <w:tc>
          <w:tcPr/>
          <w:p>
            <w:pPr>
              <w:pStyle w:val="Compact"/>
              <w:jc w:val="left"/>
            </w:pPr>
            <w:r>
              <w:t xml:space="preserve">US_WCNPO_LL_shallow_early</w:t>
            </w:r>
          </w:p>
        </w:tc>
        <w:tc>
          <w:tcPr/>
          <w:p>
            <w:pPr>
              <w:pStyle w:val="Compact"/>
              <w:jc w:val="left"/>
            </w:pPr>
            <w:r>
              <w:t xml:space="preserve">1993-2021</w:t>
            </w:r>
          </w:p>
        </w:tc>
        <w:tc>
          <w:tcPr/>
          <w:p>
            <w:pPr>
              <w:pStyle w:val="Compact"/>
              <w:jc w:val="left"/>
            </w:pPr>
            <w:r>
              <w:t xml:space="preserve">Y</w:t>
            </w:r>
          </w:p>
        </w:tc>
        <w:tc>
          <w:tcPr/>
          <w:p>
            <w:pPr>
              <w:pStyle w:val="Compact"/>
              <w:jc w:val="left"/>
            </w:pPr>
            <w:r>
              <w:t xml:space="preserve">Bohaboy and Sculley, 2023</w:t>
            </w:r>
          </w:p>
        </w:tc>
      </w:tr>
      <w:tr>
        <w:tc>
          <w:tcPr/>
          <w:p>
            <w:pPr>
              <w:pStyle w:val="Compact"/>
              <w:jc w:val="left"/>
            </w:pPr>
            <w:r>
              <w:t xml:space="preserve">F9</w:t>
            </w:r>
          </w:p>
        </w:tc>
        <w:tc>
          <w:tcPr/>
          <w:p>
            <w:pPr>
              <w:pStyle w:val="Compact"/>
              <w:jc w:val="left"/>
            </w:pPr>
            <w:r>
              <w:t xml:space="preserve">S6 - Y</w:t>
            </w:r>
          </w:p>
        </w:tc>
        <w:tc>
          <w:tcPr/>
          <w:p>
            <w:pPr>
              <w:pStyle w:val="Compact"/>
              <w:jc w:val="left"/>
            </w:pPr>
            <w:r>
              <w:t xml:space="preserve">US_WCNPO_LL_deep</w:t>
            </w:r>
          </w:p>
        </w:tc>
        <w:tc>
          <w:tcPr/>
          <w:p>
            <w:pPr>
              <w:pStyle w:val="Compact"/>
              <w:jc w:val="left"/>
            </w:pPr>
            <w:r>
              <w:t xml:space="preserve">1996-2021</w:t>
            </w:r>
          </w:p>
        </w:tc>
        <w:tc>
          <w:tcPr/>
          <w:p>
            <w:pPr>
              <w:pStyle w:val="Compact"/>
              <w:jc w:val="left"/>
            </w:pPr>
            <w:r>
              <w:t xml:space="preserve">N</w:t>
            </w:r>
          </w:p>
        </w:tc>
        <w:tc>
          <w:tcPr/>
          <w:p>
            <w:pPr>
              <w:pStyle w:val="Compact"/>
              <w:jc w:val="left"/>
            </w:pPr>
            <w:r>
              <w:t xml:space="preserve">Bohaboy and Sculley, 2023</w:t>
            </w:r>
          </w:p>
        </w:tc>
      </w:tr>
      <w:tr>
        <w:tc>
          <w:tcPr/>
          <w:p>
            <w:pPr>
              <w:pStyle w:val="Compact"/>
              <w:jc w:val="left"/>
            </w:pPr>
            <w:r>
              <w:t xml:space="preserve">F10</w:t>
            </w:r>
          </w:p>
        </w:tc>
        <w:tc>
          <w:tcPr/>
          <w:p>
            <w:pPr>
              <w:pStyle w:val="Compact"/>
              <w:jc w:val="left"/>
            </w:pPr>
            <w:r>
              <w:t xml:space="preserve">-</w:t>
            </w:r>
          </w:p>
        </w:tc>
        <w:tc>
          <w:tcPr/>
          <w:p>
            <w:pPr>
              <w:pStyle w:val="Compact"/>
              <w:jc w:val="left"/>
            </w:pPr>
            <w:r>
              <w:t xml:space="preserve">JPN_WCNPO_OSDF</w:t>
            </w:r>
          </w:p>
        </w:tc>
        <w:tc>
          <w:tcPr/>
          <w:p>
            <w:pPr>
              <w:pStyle w:val="Compact"/>
              <w:jc w:val="left"/>
            </w:pPr>
            <w:r>
              <w:t xml:space="preserve">1975-1992</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F11</w:t>
            </w:r>
          </w:p>
        </w:tc>
        <w:tc>
          <w:tcPr/>
          <w:p>
            <w:pPr>
              <w:pStyle w:val="Compact"/>
              <w:jc w:val="left"/>
            </w:pPr>
            <w:r>
              <w:t xml:space="preserve">-</w:t>
            </w:r>
          </w:p>
        </w:tc>
        <w:tc>
          <w:tcPr/>
          <w:p>
            <w:pPr>
              <w:pStyle w:val="Compact"/>
              <w:jc w:val="left"/>
            </w:pPr>
            <w:r>
              <w:t xml:space="preserve">JPN_WCNPO_Other_early</w:t>
            </w:r>
          </w:p>
        </w:tc>
        <w:tc>
          <w:tcPr/>
          <w:p>
            <w:pPr>
              <w:pStyle w:val="Compact"/>
              <w:jc w:val="left"/>
            </w:pPr>
            <w:r>
              <w:t xml:space="preserve">1975-1993</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F12</w:t>
            </w:r>
          </w:p>
        </w:tc>
        <w:tc>
          <w:tcPr/>
          <w:p>
            <w:pPr>
              <w:pStyle w:val="Compact"/>
              <w:jc w:val="left"/>
            </w:pPr>
            <w:r>
              <w:t xml:space="preserve">-</w:t>
            </w:r>
          </w:p>
        </w:tc>
        <w:tc>
          <w:tcPr/>
          <w:p>
            <w:pPr>
              <w:pStyle w:val="Compact"/>
              <w:jc w:val="left"/>
            </w:pPr>
            <w:r>
              <w:t xml:space="preserve">JPN_WCNPO_Other_late</w:t>
            </w:r>
          </w:p>
        </w:tc>
        <w:tc>
          <w:tcPr/>
          <w:p>
            <w:pPr>
              <w:pStyle w:val="Compact"/>
              <w:jc w:val="left"/>
            </w:pPr>
            <w:r>
              <w:t xml:space="preserve">1994-2021</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F13</w:t>
            </w:r>
          </w:p>
        </w:tc>
        <w:tc>
          <w:tcPr/>
          <w:p>
            <w:pPr>
              <w:pStyle w:val="Compact"/>
              <w:jc w:val="left"/>
            </w:pPr>
            <w:r>
              <w:t xml:space="preserve">-</w:t>
            </w:r>
          </w:p>
        </w:tc>
        <w:tc>
          <w:tcPr/>
          <w:p>
            <w:pPr>
              <w:pStyle w:val="Compact"/>
              <w:jc w:val="left"/>
            </w:pPr>
            <w:r>
              <w:t xml:space="preserve">TWN_WCNPO_DWLL_early</w:t>
            </w:r>
          </w:p>
        </w:tc>
        <w:tc>
          <w:tcPr/>
          <w:p>
            <w:pPr>
              <w:pStyle w:val="Compact"/>
              <w:jc w:val="left"/>
            </w:pPr>
            <w:r>
              <w:t xml:space="preserve">1975-1999</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F14</w:t>
            </w:r>
          </w:p>
        </w:tc>
        <w:tc>
          <w:tcPr/>
          <w:p>
            <w:pPr>
              <w:pStyle w:val="Compact"/>
              <w:jc w:val="left"/>
            </w:pPr>
            <w:r>
              <w:t xml:space="preserve">-</w:t>
            </w:r>
          </w:p>
        </w:tc>
        <w:tc>
          <w:tcPr/>
          <w:p>
            <w:pPr>
              <w:pStyle w:val="Compact"/>
              <w:jc w:val="left"/>
            </w:pPr>
            <w:r>
              <w:t xml:space="preserve">TWN_WCNPO_Other</w:t>
            </w:r>
          </w:p>
        </w:tc>
        <w:tc>
          <w:tcPr/>
          <w:p>
            <w:pPr>
              <w:pStyle w:val="Compact"/>
              <w:jc w:val="left"/>
            </w:pPr>
            <w:r>
              <w:t xml:space="preserve">2001-2021</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F15</w:t>
            </w:r>
          </w:p>
        </w:tc>
        <w:tc>
          <w:tcPr/>
          <w:p>
            <w:pPr>
              <w:pStyle w:val="Compact"/>
              <w:jc w:val="left"/>
            </w:pPr>
            <w:r>
              <w:t xml:space="preserve">-</w:t>
            </w:r>
          </w:p>
        </w:tc>
        <w:tc>
          <w:tcPr/>
          <w:p>
            <w:pPr>
              <w:pStyle w:val="Compact"/>
              <w:jc w:val="left"/>
            </w:pPr>
            <w:r>
              <w:t xml:space="preserve">US_WCNPO_GN</w:t>
            </w:r>
          </w:p>
        </w:tc>
        <w:tc>
          <w:tcPr/>
          <w:p>
            <w:pPr>
              <w:pStyle w:val="Compact"/>
              <w:jc w:val="left"/>
            </w:pPr>
            <w:r>
              <w:t xml:space="preserve">1980-2021</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F16</w:t>
            </w:r>
          </w:p>
        </w:tc>
        <w:tc>
          <w:tcPr/>
          <w:p>
            <w:pPr>
              <w:pStyle w:val="Compact"/>
              <w:jc w:val="left"/>
            </w:pPr>
            <w:r>
              <w:t xml:space="preserve">-</w:t>
            </w:r>
          </w:p>
        </w:tc>
        <w:tc>
          <w:tcPr/>
          <w:p>
            <w:pPr>
              <w:pStyle w:val="Compact"/>
              <w:jc w:val="left"/>
            </w:pPr>
            <w:r>
              <w:t xml:space="preserve">US_WCNPO_Other</w:t>
            </w:r>
          </w:p>
        </w:tc>
        <w:tc>
          <w:tcPr/>
          <w:p>
            <w:pPr>
              <w:pStyle w:val="Compact"/>
              <w:jc w:val="left"/>
            </w:pPr>
            <w:r>
              <w:t xml:space="preserve">1975-2021</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F17</w:t>
            </w:r>
          </w:p>
        </w:tc>
        <w:tc>
          <w:tcPr/>
          <w:p>
            <w:pPr>
              <w:pStyle w:val="Compact"/>
              <w:jc w:val="left"/>
            </w:pPr>
            <w:r>
              <w:t xml:space="preserve">S3 - Y</w:t>
            </w:r>
          </w:p>
        </w:tc>
        <w:tc>
          <w:tcPr/>
          <w:p>
            <w:pPr>
              <w:pStyle w:val="Compact"/>
              <w:jc w:val="left"/>
            </w:pPr>
            <w:r>
              <w:t xml:space="preserve">JPN_WCNPO_OSDWLL_early_area2</w:t>
            </w:r>
          </w:p>
        </w:tc>
        <w:tc>
          <w:tcPr/>
          <w:p>
            <w:pPr>
              <w:pStyle w:val="Compact"/>
              <w:jc w:val="left"/>
            </w:pPr>
            <w:r>
              <w:t xml:space="preserve">1975-1993</w:t>
            </w:r>
          </w:p>
        </w:tc>
        <w:tc>
          <w:tcPr/>
          <w:p>
            <w:pPr>
              <w:pStyle w:val="Compact"/>
              <w:jc w:val="left"/>
            </w:pPr>
            <w:r>
              <w:t xml:space="preserve">-</w:t>
            </w:r>
          </w:p>
        </w:tc>
        <w:tc>
          <w:tcPr/>
          <w:p>
            <w:pPr>
              <w:pStyle w:val="Compact"/>
              <w:jc w:val="left"/>
            </w:pPr>
            <w:r>
              <w:t xml:space="preserve">Jusup et al., 2023</w:t>
            </w:r>
          </w:p>
        </w:tc>
      </w:tr>
      <w:tr>
        <w:tc>
          <w:tcPr/>
          <w:p>
            <w:pPr>
              <w:pStyle w:val="Compact"/>
              <w:jc w:val="left"/>
            </w:pPr>
            <w:r>
              <w:t xml:space="preserve">F18</w:t>
            </w:r>
          </w:p>
        </w:tc>
        <w:tc>
          <w:tcPr/>
          <w:p>
            <w:pPr>
              <w:pStyle w:val="Compact"/>
              <w:jc w:val="left"/>
            </w:pPr>
            <w:r>
              <w:t xml:space="preserve">S4 - Y</w:t>
            </w:r>
          </w:p>
        </w:tc>
        <w:tc>
          <w:tcPr/>
          <w:p>
            <w:pPr>
              <w:pStyle w:val="Compact"/>
              <w:jc w:val="left"/>
            </w:pPr>
            <w:r>
              <w:t xml:space="preserve">JPN_WCNPO_OSDWLL_late_area2</w:t>
            </w:r>
          </w:p>
        </w:tc>
        <w:tc>
          <w:tcPr/>
          <w:p>
            <w:pPr>
              <w:pStyle w:val="Compact"/>
              <w:jc w:val="left"/>
            </w:pPr>
            <w:r>
              <w:t xml:space="preserve">1994-2021</w:t>
            </w:r>
          </w:p>
        </w:tc>
        <w:tc>
          <w:tcPr/>
          <w:p>
            <w:pPr>
              <w:pStyle w:val="Compact"/>
              <w:jc w:val="left"/>
            </w:pPr>
            <w:r>
              <w:t xml:space="preserve">-</w:t>
            </w:r>
          </w:p>
        </w:tc>
        <w:tc>
          <w:tcPr/>
          <w:p>
            <w:pPr>
              <w:pStyle w:val="Compact"/>
              <w:jc w:val="left"/>
            </w:pPr>
            <w:r>
              <w:t xml:space="preserve">Jusup et al., 2023</w:t>
            </w:r>
          </w:p>
        </w:tc>
      </w:tr>
      <w:tr>
        <w:tc>
          <w:tcPr/>
          <w:p>
            <w:pPr>
              <w:pStyle w:val="Compact"/>
              <w:jc w:val="left"/>
            </w:pPr>
            <w:r>
              <w:t xml:space="preserve">F19</w:t>
            </w:r>
          </w:p>
        </w:tc>
        <w:tc>
          <w:tcPr/>
          <w:p>
            <w:pPr>
              <w:pStyle w:val="Compact"/>
              <w:jc w:val="left"/>
            </w:pPr>
            <w:r>
              <w:t xml:space="preserve">-</w:t>
            </w:r>
          </w:p>
        </w:tc>
        <w:tc>
          <w:tcPr/>
          <w:p>
            <w:pPr>
              <w:pStyle w:val="Compact"/>
              <w:jc w:val="left"/>
            </w:pPr>
            <w:r>
              <w:t xml:space="preserve">WCPFC</w:t>
            </w:r>
          </w:p>
        </w:tc>
        <w:tc>
          <w:tcPr/>
          <w:p>
            <w:pPr>
              <w:pStyle w:val="Compact"/>
              <w:jc w:val="left"/>
            </w:pPr>
            <w:r>
              <w:t xml:space="preserve">1975-2021</w:t>
            </w:r>
          </w:p>
        </w:tc>
        <w:tc>
          <w:tcPr/>
          <w:p>
            <w:pPr>
              <w:pStyle w:val="Compact"/>
              <w:jc w:val="left"/>
            </w:pPr>
            <w:r>
              <w:t xml:space="preserve">-</w:t>
            </w:r>
          </w:p>
        </w:tc>
        <w:tc>
          <w:tcPr/>
          <w:p>
            <w:pPr>
              <w:pStyle w:val="Compact"/>
              <w:jc w:val="left"/>
            </w:pPr>
            <w:r>
              <w:t xml:space="preserve">-</w:t>
            </w:r>
          </w:p>
        </w:tc>
      </w:tr>
    </w:tbl>
    <w:bookmarkEnd w:id="60"/>
    <w:p>
      <w:pPr>
        <w:pStyle w:val="BodyText"/>
      </w:pPr>
      <w:r>
        <w:t xml:space="preserve">Table Next</w:t>
      </w:r>
    </w:p>
    <w:bookmarkStart w:id="61" w:name="tbl-inputcatch"/>
    <w:p>
      <w:pPr>
        <w:pStyle w:val="TableCaption"/>
      </w:pPr>
      <w:r>
        <w:t xml:space="preserve">Table 2: Time series of catch by fleet submitted for the 2023 North Pacific swordfish stock assessment. Starred fleets are in numbers of fish, all others are in metric tons. See Table 1 for and explanation of fleet numbers.</w:t>
      </w:r>
    </w:p>
    <w:tbl>
      <w:tblPr>
        <w:tblStyle w:val="Table"/>
        <w:tblW w:type="auto" w:w="0"/>
        <w:tblLook w:firstRow="1" w:lastRow="0" w:firstColumn="0" w:lastColumn="0" w:noHBand="0" w:noVBand="0" w:val="0020"/>
        <w:tblCaption w:val="Table 2: Time series of catch by fleet submitted for the 2023 North Pacific swordfish stock assessment. Starred fleets are in numbers of fish, all others are in metric tons. See Table 1 for and explanation of fleet numbers."/>
      </w:tblPr>
      <w:tblGrid>
        <w:gridCol w:w="2640"/>
        <w:gridCol w:w="2640"/>
        <w:gridCol w:w="2640"/>
      </w:tblGrid>
      <w:tr>
        <w:trPr>
          <w:tblHeader w:val="true"/>
        </w:trPr>
        <w:tc>
          <w:tcPr/>
          <w:p>
            <w:pPr>
              <w:pStyle w:val="Compact"/>
              <w:jc w:val="left"/>
            </w:pPr>
            <w:r>
              <w:t xml:space="preserve">Catch</w:t>
            </w:r>
          </w:p>
        </w:tc>
        <w:tc>
          <w:tcPr/>
          <w:p>
            <w:pPr>
              <w:pStyle w:val="Compact"/>
              <w:jc w:val="left"/>
            </w:pPr>
            <w:r>
              <w:t xml:space="preserve">Series</w:t>
            </w:r>
          </w:p>
        </w:tc>
        <w:tc>
          <w:tcPr/>
          <w:p>
            <w:pPr>
              <w:pStyle w:val="Compact"/>
              <w:jc w:val="left"/>
            </w:pPr>
            <w:r>
              <w:t xml:space="preserve">Year</w:t>
            </w:r>
          </w:p>
        </w:tc>
      </w:tr>
      <w:tr>
        <w:tc>
          <w:tcPr/>
          <w:p>
            <w:pPr>
              <w:pStyle w:val="Compact"/>
              <w:jc w:val="left"/>
            </w:pPr>
            <w:r>
              <w:t xml:space="preserve">Fillo</w:t>
            </w:r>
          </w:p>
        </w:tc>
        <w:tc>
          <w:tcPr/>
          <w:p>
            <w:pPr>
              <w:pStyle w:val="Compact"/>
              <w:jc w:val="left"/>
            </w:pPr>
            <w:r>
              <w:t xml:space="preserve">utthis</w:t>
            </w:r>
          </w:p>
        </w:tc>
        <w:tc>
          <w:tcPr/>
          <w:p>
            <w:pPr>
              <w:pStyle w:val="Compact"/>
              <w:jc w:val="left"/>
            </w:pPr>
            <w:r>
              <w:t xml:space="preserve">spot</w:t>
            </w:r>
          </w:p>
        </w:tc>
      </w:tr>
    </w:tbl>
    <w:bookmarkEnd w:id="61"/>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10"/>
          </w:tcPr>
          <w:p>
            <w:pPr>
              <w:spacing w:before="0" w:after="60"/>
              <w:keepNext/>
              <w:jc w:val="center"/>
            </w:pPr>
            <w:r>
              <w:rPr>
                <w:rFonts w:ascii="Calibri" w:hAnsi="Calibri"/>
                <w:sz w:val="20"/>
                <w:b w:val="true"/>
              </w:rPr>
              <w:t xml:space="default">Fleet</w:t>
            </w:r>
          </w:p>
        </w:tc>
      </w:tr>
      <w:tr>
        <w:trPr>
          <w:cantSplit/>
          <w:tblHeader/>
        </w:trPr>
        <w:tc>
          <w:tcPr>
            <w:tcBorders>
              <w:bottom w:val="single" w:sz="16" w:space="0" w:color="D3D3D3"/>
              <w:start w:val="single" w:space="0" w:color="D3D3D3"/>
            </w:tcBorders>
          </w:tcPr>
          <w:p>
            <w:pPr>
              <w:spacing w:before="0" w:after="60"/>
              <w:keepNext/>
              <w:jc w:val="end"/>
            </w:pPr>
            <w:r>
              <w:rPr>
                <w:rFonts w:ascii="Calibri" w:hAnsi="Calibri"/>
                <w:sz w:val="20"/>
              </w:rPr>
              <w:t xml:space="default">Year</w:t>
            </w:r>
          </w:p>
        </w:tc>
        <w:tc>
          <w:tcPr>
            <w:tcBorders>
              <w:bottom w:val="single" w:sz="16" w:space="0" w:color="D3D3D3"/>
            </w:tcBorders>
          </w:tcPr>
          <w:p>
            <w:pPr>
              <w:spacing w:before="0" w:after="60"/>
              <w:keepNext/>
              <w:jc w:val="end"/>
            </w:pPr>
            <w:r>
              <w:rPr>
                <w:rFonts w:ascii="Calibri" w:hAnsi="Calibri"/>
                <w:sz w:val="20"/>
              </w:rPr>
              <w:t xml:space="default">Quarter</w:t>
            </w:r>
          </w:p>
        </w:tc>
        <w:tc>
          <w:tcPr>
            <w:tcBorders>
              <w:bottom w:val="single" w:sz="16" w:space="0" w:color="D3D3D3"/>
            </w:tcBorders>
          </w:tcPr>
          <w:p>
            <w:pPr>
              <w:spacing w:before="0" w:after="60"/>
              <w:keepNext/>
              <w:jc w:val="end"/>
            </w:pPr>
            <w:r>
              <w:rPr>
                <w:rFonts w:ascii="Calibri" w:hAnsi="Calibri"/>
                <w:sz w:val="20"/>
              </w:rPr>
              <w:t xml:space="default">1*</w:t>
            </w:r>
          </w:p>
        </w:tc>
        <w:tc>
          <w:tcPr>
            <w:tcBorders>
              <w:bottom w:val="single" w:sz="16" w:space="0" w:color="D3D3D3"/>
            </w:tcBorders>
          </w:tcPr>
          <w:p>
            <w:pPr>
              <w:spacing w:before="0" w:after="60"/>
              <w:keepNext/>
              <w:jc w:val="end"/>
            </w:pPr>
            <w:r>
              <w:rPr>
                <w:rFonts w:ascii="Calibri" w:hAnsi="Calibri"/>
                <w:sz w:val="20"/>
              </w:rPr>
              <w:t xml:space="default">2</w:t>
            </w:r>
          </w:p>
        </w:tc>
        <w:tc>
          <w:tcPr>
            <w:tcBorders>
              <w:bottom w:val="single" w:sz="16" w:space="0" w:color="D3D3D3"/>
            </w:tcBorders>
          </w:tcPr>
          <w:p>
            <w:pPr>
              <w:spacing w:before="0" w:after="60"/>
              <w:keepNext/>
              <w:jc w:val="end"/>
            </w:pPr>
            <w:r>
              <w:rPr>
                <w:rFonts w:ascii="Calibri" w:hAnsi="Calibri"/>
                <w:sz w:val="20"/>
              </w:rPr>
              <w:t xml:space="default">3*</w:t>
            </w:r>
          </w:p>
        </w:tc>
        <w:tc>
          <w:tcPr>
            <w:tcBorders>
              <w:bottom w:val="single" w:sz="16" w:space="0" w:color="D3D3D3"/>
            </w:tcBorders>
          </w:tcPr>
          <w:p>
            <w:pPr>
              <w:spacing w:before="0" w:after="60"/>
              <w:keepNext/>
              <w:jc w:val="end"/>
            </w:pPr>
            <w:r>
              <w:rPr>
                <w:rFonts w:ascii="Calibri" w:hAnsi="Calibri"/>
                <w:sz w:val="20"/>
              </w:rPr>
              <w:t xml:space="default">4</w:t>
            </w:r>
          </w:p>
        </w:tc>
        <w:tc>
          <w:tcPr>
            <w:tcBorders>
              <w:bottom w:val="single" w:sz="16" w:space="0" w:color="D3D3D3"/>
            </w:tcBorders>
          </w:tcPr>
          <w:p>
            <w:pPr>
              <w:spacing w:before="0" w:after="60"/>
              <w:keepNext/>
              <w:jc w:val="end"/>
            </w:pPr>
            <w:r>
              <w:rPr>
                <w:rFonts w:ascii="Calibri" w:hAnsi="Calibri"/>
                <w:sz w:val="20"/>
              </w:rPr>
              <w:t xml:space="default">5*</w:t>
            </w:r>
          </w:p>
        </w:tc>
        <w:tc>
          <w:tcPr>
            <w:tcBorders>
              <w:bottom w:val="single" w:sz="16" w:space="0" w:color="D3D3D3"/>
            </w:tcBorders>
          </w:tcPr>
          <w:p>
            <w:pPr>
              <w:spacing w:before="0" w:after="60"/>
              <w:keepNext/>
              <w:jc w:val="end"/>
            </w:pPr>
            <w:r>
              <w:rPr>
                <w:rFonts w:ascii="Calibri" w:hAnsi="Calibri"/>
                <w:sz w:val="20"/>
              </w:rPr>
              <w:t xml:space="default">6*</w:t>
            </w:r>
          </w:p>
        </w:tc>
        <w:tc>
          <w:tcPr>
            <w:tcBorders>
              <w:bottom w:val="single" w:sz="16" w:space="0" w:color="D3D3D3"/>
            </w:tcBorders>
          </w:tcPr>
          <w:p>
            <w:pPr>
              <w:spacing w:before="0" w:after="60"/>
              <w:keepNext/>
              <w:jc w:val="end"/>
            </w:pPr>
            <w:r>
              <w:rPr>
                <w:rFonts w:ascii="Calibri" w:hAnsi="Calibri"/>
                <w:sz w:val="20"/>
              </w:rPr>
              <w:t xml:space="default">7</w:t>
            </w:r>
          </w:p>
        </w:tc>
        <w:tc>
          <w:tcPr>
            <w:tcBorders>
              <w:bottom w:val="single" w:sz="16" w:space="0" w:color="D3D3D3"/>
            </w:tcBorders>
          </w:tcPr>
          <w:p>
            <w:pPr>
              <w:spacing w:before="0" w:after="60"/>
              <w:keepNext/>
              <w:jc w:val="end"/>
            </w:pPr>
            <w:r>
              <w:rPr>
                <w:rFonts w:ascii="Calibri" w:hAnsi="Calibri"/>
                <w:sz w:val="20"/>
              </w:rPr>
              <w:t xml:space="default">8*</w:t>
            </w:r>
          </w:p>
        </w:tc>
        <w:tc>
          <w:tcPr>
            <w:tcBorders>
              <w:bottom w:val="single" w:sz="16" w:space="0" w:color="D3D3D3"/>
            </w:tcBorders>
          </w:tcPr>
          <w:p>
            <w:pPr>
              <w:spacing w:before="0" w:after="60"/>
              <w:keepNext/>
              <w:jc w:val="end"/>
            </w:pPr>
            <w:r>
              <w:rPr>
                <w:rFonts w:ascii="Calibri" w:hAnsi="Calibri"/>
                <w:sz w:val="20"/>
              </w:rPr>
              <w:t xml:space="default">9*</w:t>
            </w:r>
          </w:p>
        </w:tc>
        <w:tc>
          <w:tcPr>
            <w:tcBorders>
              <w:bottom w:val="single" w:sz="16"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bl>
    <w:p>
      <w:pPr>
        <w:pStyle w:val="BodyText"/>
      </w:pPr>
      <w:r>
        <w:t xml:space="preserve">Table Next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9"/>
          </w:tcPr>
          <w:p>
            <w:pPr>
              <w:spacing w:before="0" w:after="60"/>
              <w:keepNext/>
              <w:jc w:val="center"/>
            </w:pPr>
            <w:r>
              <w:rPr>
                <w:rFonts w:ascii="Calibri" w:hAnsi="Calibri"/>
                <w:sz w:val="20"/>
                <w:b w:val="true"/>
              </w:rPr>
              <w:t xml:space="default">Fleet</w:t>
            </w:r>
          </w:p>
        </w:tc>
      </w:tr>
      <w:tr>
        <w:trPr>
          <w:cantSplit/>
          <w:tblHeader/>
        </w:trPr>
        <w:tc>
          <w:tcPr>
            <w:tcBorders>
              <w:bottom w:val="single" w:sz="16" w:space="0" w:color="D3D3D3"/>
              <w:start w:val="single" w:space="0" w:color="D3D3D3"/>
            </w:tcBorders>
          </w:tcPr>
          <w:p>
            <w:pPr>
              <w:spacing w:before="0" w:after="60"/>
              <w:keepNext/>
              <w:jc w:val="end"/>
            </w:pPr>
            <w:r>
              <w:rPr>
                <w:rFonts w:ascii="Calibri" w:hAnsi="Calibri"/>
                <w:sz w:val="20"/>
              </w:rPr>
              <w:t xml:space="default">Year</w:t>
            </w:r>
          </w:p>
        </w:tc>
        <w:tc>
          <w:tcPr>
            <w:tcBorders>
              <w:bottom w:val="single" w:sz="16" w:space="0" w:color="D3D3D3"/>
            </w:tcBorders>
          </w:tcPr>
          <w:p>
            <w:pPr>
              <w:spacing w:before="0" w:after="60"/>
              <w:keepNext/>
              <w:jc w:val="end"/>
            </w:pPr>
            <w:r>
              <w:rPr>
                <w:rFonts w:ascii="Calibri" w:hAnsi="Calibri"/>
                <w:sz w:val="20"/>
              </w:rPr>
              <w:t xml:space="default">Quarter</w:t>
            </w:r>
          </w:p>
        </w:tc>
        <w:tc>
          <w:tcPr>
            <w:tcBorders>
              <w:bottom w:val="single" w:sz="16" w:space="0" w:color="D3D3D3"/>
            </w:tcBorders>
          </w:tcPr>
          <w:p>
            <w:pPr>
              <w:spacing w:before="0" w:after="60"/>
              <w:keepNext/>
              <w:jc w:val="end"/>
            </w:pPr>
            <w:r>
              <w:rPr>
                <w:rFonts w:ascii="Calibri" w:hAnsi="Calibri"/>
                <w:sz w:val="20"/>
              </w:rPr>
              <w:t xml:space="default">11</w:t>
            </w:r>
          </w:p>
        </w:tc>
        <w:tc>
          <w:tcPr>
            <w:tcBorders>
              <w:bottom w:val="single" w:sz="16" w:space="0" w:color="D3D3D3"/>
            </w:tcBorders>
          </w:tcPr>
          <w:p>
            <w:pPr>
              <w:spacing w:before="0" w:after="60"/>
              <w:keepNext/>
              <w:jc w:val="end"/>
            </w:pPr>
            <w:r>
              <w:rPr>
                <w:rFonts w:ascii="Calibri" w:hAnsi="Calibri"/>
                <w:sz w:val="20"/>
              </w:rPr>
              <w:t xml:space="default">12</w:t>
            </w:r>
          </w:p>
        </w:tc>
        <w:tc>
          <w:tcPr>
            <w:tcBorders>
              <w:bottom w:val="single" w:sz="16" w:space="0" w:color="D3D3D3"/>
            </w:tcBorders>
          </w:tcPr>
          <w:p>
            <w:pPr>
              <w:spacing w:before="0" w:after="60"/>
              <w:keepNext/>
              <w:jc w:val="end"/>
            </w:pPr>
            <w:r>
              <w:rPr>
                <w:rFonts w:ascii="Calibri" w:hAnsi="Calibri"/>
                <w:sz w:val="20"/>
              </w:rPr>
              <w:t xml:space="default">13</w:t>
            </w:r>
          </w:p>
        </w:tc>
        <w:tc>
          <w:tcPr>
            <w:tcBorders>
              <w:bottom w:val="single" w:sz="16" w:space="0" w:color="D3D3D3"/>
            </w:tcBorders>
          </w:tcPr>
          <w:p>
            <w:pPr>
              <w:spacing w:before="0" w:after="60"/>
              <w:keepNext/>
              <w:jc w:val="end"/>
            </w:pPr>
            <w:r>
              <w:rPr>
                <w:rFonts w:ascii="Calibri" w:hAnsi="Calibri"/>
                <w:sz w:val="20"/>
              </w:rPr>
              <w:t xml:space="default">14</w:t>
            </w:r>
          </w:p>
        </w:tc>
        <w:tc>
          <w:tcPr>
            <w:tcBorders>
              <w:bottom w:val="single" w:sz="16" w:space="0" w:color="D3D3D3"/>
            </w:tcBorders>
          </w:tcPr>
          <w:p>
            <w:pPr>
              <w:spacing w:before="0" w:after="60"/>
              <w:keepNext/>
              <w:jc w:val="end"/>
            </w:pPr>
            <w:r>
              <w:rPr>
                <w:rFonts w:ascii="Calibri" w:hAnsi="Calibri"/>
                <w:sz w:val="20"/>
              </w:rPr>
              <w:t xml:space="default">15</w:t>
            </w:r>
          </w:p>
        </w:tc>
        <w:tc>
          <w:tcPr>
            <w:tcBorders>
              <w:bottom w:val="single" w:sz="16" w:space="0" w:color="D3D3D3"/>
            </w:tcBorders>
          </w:tcPr>
          <w:p>
            <w:pPr>
              <w:spacing w:before="0" w:after="60"/>
              <w:keepNext/>
              <w:jc w:val="end"/>
            </w:pPr>
            <w:r>
              <w:rPr>
                <w:rFonts w:ascii="Calibri" w:hAnsi="Calibri"/>
                <w:sz w:val="20"/>
              </w:rPr>
              <w:t xml:space="default">16</w:t>
            </w:r>
          </w:p>
        </w:tc>
        <w:tc>
          <w:tcPr>
            <w:tcBorders>
              <w:bottom w:val="single" w:sz="16" w:space="0" w:color="D3D3D3"/>
            </w:tcBorders>
          </w:tcPr>
          <w:p>
            <w:pPr>
              <w:spacing w:before="0" w:after="60"/>
              <w:keepNext/>
              <w:jc w:val="end"/>
            </w:pPr>
            <w:r>
              <w:rPr>
                <w:rFonts w:ascii="Calibri" w:hAnsi="Calibri"/>
                <w:sz w:val="20"/>
              </w:rPr>
              <w:t xml:space="default">17*</w:t>
            </w:r>
          </w:p>
        </w:tc>
        <w:tc>
          <w:tcPr>
            <w:tcBorders>
              <w:bottom w:val="single" w:sz="16" w:space="0" w:color="D3D3D3"/>
            </w:tcBorders>
          </w:tcPr>
          <w:p>
            <w:pPr>
              <w:spacing w:before="0" w:after="60"/>
              <w:keepNext/>
              <w:jc w:val="end"/>
            </w:pPr>
            <w:r>
              <w:rPr>
                <w:rFonts w:ascii="Calibri" w:hAnsi="Calibri"/>
                <w:sz w:val="20"/>
              </w:rPr>
              <w:t xml:space="default">18*</w:t>
            </w:r>
          </w:p>
        </w:tc>
        <w:tc>
          <w:tcPr>
            <w:tcBorders>
              <w:bottom w:val="single" w:sz="16"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282.1</w:t>
            </w:r>
          </w:p>
        </w:tc>
      </w:tr>
    </w:tbl>
    <w:p>
      <w:pPr>
        <w:pStyle w:val="BodyText"/>
      </w:pPr>
      <w:r>
        <w:t xml:space="preserve">Table Next</w:t>
      </w:r>
    </w:p>
    <w:bookmarkStart w:id="62" w:name="tbl-inputCPUE"/>
    <w:p>
      <w:pPr>
        <w:pStyle w:val="TableCaption"/>
      </w:pPr>
      <w:r>
        <w:t xml:space="preserve">Table 3: Standardized catch-per-unit-effort (CPUE; in number per 1000 hooks) indices and input standard error (SE) in log-scale (i.e., log(SE)) of lognormal error of CPUE for the striped marlin from the Western and Central North Pacific Ocean used in the stock assessment. Index descriptions can be found in Table 1.</w:t>
      </w:r>
    </w:p>
    <w:tbl>
      <w:tblPr>
        <w:tblStyle w:val="Table"/>
        <w:tblW w:type="auto" w:w="0"/>
        <w:tblLook w:firstRow="1" w:lastRow="0" w:firstColumn="0" w:lastColumn="0" w:noHBand="0" w:noVBand="0" w:val="0020"/>
        <w:tblCaption w:val="Table 3: Standardized catch-per-unit-effort (CPUE; in number per 1000 hooks) indices and input standard error (SE) in log-scale (i.e., log(SE)) of lognormal error of CPUE for the striped marlin from the Western and Central North Pacific Ocean used in the stock assessment. Index descriptions can be found in Table 1."/>
      </w:tblPr>
      <w:tblGrid>
        <w:gridCol w:w="3960"/>
        <w:gridCol w:w="3960"/>
      </w:tblGrid>
      <w:tr>
        <w:trPr>
          <w:tblHeader w:val="true"/>
        </w:trPr>
        <w:tc>
          <w:tcPr/>
          <w:p>
            <w:pPr>
              <w:pStyle w:val="Compact"/>
              <w:jc w:val="left"/>
            </w:pPr>
            <w:r>
              <w:t xml:space="preserve">CPUE</w:t>
            </w:r>
          </w:p>
        </w:tc>
        <w:tc>
          <w:tcPr/>
          <w:p>
            <w:pPr>
              <w:pStyle w:val="Compact"/>
              <w:jc w:val="left"/>
            </w:pPr>
            <w:r>
              <w:t xml:space="preserve">FLEET</w:t>
            </w:r>
          </w:p>
        </w:tc>
      </w:tr>
      <w:tr>
        <w:tc>
          <w:tcPr/>
          <w:p>
            <w:pPr>
              <w:pStyle w:val="Compact"/>
              <w:jc w:val="left"/>
            </w:pPr>
            <w:r>
              <w:t xml:space="preserve">Spac</w:t>
            </w:r>
          </w:p>
        </w:tc>
        <w:tc>
          <w:tcPr/>
          <w:p>
            <w:pPr>
              <w:pStyle w:val="Compact"/>
              <w:jc w:val="left"/>
            </w:pPr>
            <w:r>
              <w:t xml:space="preserve">ehold</w:t>
            </w:r>
          </w:p>
        </w:tc>
      </w:tr>
    </w:tbl>
    <w:bookmarkEnd w:id="62"/>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S1</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S2</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S3</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S4</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S5</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S6</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S7</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S8</w:t>
            </w:r>
          </w:p>
        </w:tc>
      </w:tr>
      <w:tr>
        <w:trPr>
          <w:cantSplit/>
          <w:tblHeader/>
        </w:trPr>
        <w:tc>
          <w:tcPr>
            <w:tcBorders>
              <w:bottom w:val="single" w:sz="16" w:space="0" w:color="D3D3D3"/>
              <w:start w:val="single" w:space="0" w:color="D3D3D3"/>
            </w:tcBorders>
          </w:tcPr>
          <w:p>
            <w:pPr>
              <w:spacing w:before="0" w:after="60"/>
              <w:keepNext/>
              <w:jc w:val="end"/>
            </w:pPr>
            <w:r>
              <w:rPr>
                <w:rFonts w:ascii="Calibri" w:hAnsi="Calibri"/>
                <w:sz w:val="20"/>
              </w:rPr>
              <w:t xml:space="default">Year</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tcBorders>
          </w:tcPr>
          <w:p>
            <w:pPr>
              <w:spacing w:before="0" w:after="60"/>
              <w:keepNext/>
              <w:jc w:val="end"/>
            </w:pPr>
            <w:r>
              <w:rPr>
                <w:rFonts w:ascii="Calibri" w:hAnsi="Calibri"/>
                <w:sz w:val="20"/>
              </w:rPr>
              <w:t xml:space="default">SE</w:t>
            </w:r>
          </w:p>
        </w:tc>
        <w:tc>
          <w:tcPr>
            <w:tcBorders>
              <w:bottom w:val="single" w:sz="16" w:space="0" w:color="D3D3D3"/>
            </w:tcBorders>
          </w:tcPr>
          <w:p>
            <w:pPr>
              <w:spacing w:before="0" w:after="60"/>
              <w:keepNext/>
              <w:jc w:val="end"/>
            </w:pPr>
            <w:r>
              <w:rPr>
                <w:rFonts w:ascii="Calibri" w:hAnsi="Calibri"/>
                <w:sz w:val="20"/>
              </w:rPr>
              <w:t xml:space="default">CPUE</w:t>
            </w:r>
          </w:p>
        </w:tc>
        <w:tc>
          <w:tcPr>
            <w:tcBorders>
              <w:bottom w:val="single" w:sz="16" w:space="0" w:color="D3D3D3"/>
              <w:end w:val="single" w:space="0" w:color="D3D3D3"/>
            </w:tcBorders>
          </w:tcPr>
          <w:p>
            <w:pPr>
              <w:spacing w:before="0" w:after="60"/>
              <w:keepNext/>
              <w:jc w:val="end"/>
            </w:pPr>
            <w:r>
              <w:rPr>
                <w:rFonts w:ascii="Calibri" w:hAnsi="Calibri"/>
                <w:sz w:val="20"/>
              </w:rPr>
              <w:t xml:space="default">SE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r>
    </w:tbl>
    <w:p>
      <w:pPr>
        <w:pStyle w:val="BodyText"/>
      </w:pPr>
      <w:r>
        <w:t xml:space="preserve">Table Next</w:t>
      </w:r>
    </w:p>
    <w:bookmarkStart w:id="63" w:name="tbl-lifehistory"/>
    <w:p>
      <w:pPr>
        <w:pStyle w:val="TableCaption"/>
      </w:pPr>
      <w:r>
        <w:t xml:space="preserve">Table 4: Key life history parameters and model structures for the North Pacific swordfish stock assessment.</w:t>
      </w:r>
    </w:p>
    <w:tbl>
      <w:tblPr>
        <w:tblStyle w:val="Table"/>
        <w:tblW w:type="auto" w:w="0"/>
        <w:tblLook w:firstRow="1" w:lastRow="0" w:firstColumn="0" w:lastColumn="0" w:noHBand="0" w:noVBand="0" w:val="0020"/>
        <w:tblCaption w:val="Table 4: Key life history parameters and model structures for the North Pacific swordfish stock assessment."/>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Female</w:t>
            </w:r>
          </w:p>
        </w:tc>
        <w:tc>
          <w:tcPr/>
          <w:p>
            <w:pPr>
              <w:pStyle w:val="Compact"/>
              <w:jc w:val="left"/>
            </w:pPr>
            <w:r>
              <w:t xml:space="preserve">Male</w:t>
            </w:r>
          </w:p>
        </w:tc>
        <w:tc>
          <w:tcPr/>
          <w:p>
            <w:pPr>
              <w:pStyle w:val="Compact"/>
              <w:jc w:val="left"/>
            </w:pPr>
            <w:r>
              <w:t xml:space="preserve">Reference</w:t>
            </w:r>
          </w:p>
        </w:tc>
      </w:tr>
      <w:tr>
        <w:tc>
          <w:tcPr/>
          <w:p>
            <w:pPr>
              <w:pStyle w:val="Compact"/>
              <w:jc w:val="left"/>
            </w:pPr>
            <w:r>
              <w:t xml:space="preserve">growth</w:t>
            </w:r>
          </w:p>
        </w:tc>
        <w:tc>
          <w:tcPr/>
          <w:p>
            <w:pPr>
              <w:pStyle w:val="Compact"/>
              <w:jc w:val="left"/>
            </w:pPr>
            <w:r>
              <w:t xml:space="preserve">0.345</w:t>
            </w:r>
          </w:p>
        </w:tc>
        <w:tc>
          <w:tcPr/>
          <w:p>
            <w:pPr>
              <w:pStyle w:val="Compact"/>
              <w:jc w:val="left"/>
            </w:pPr>
            <w:r>
              <w:t xml:space="preserve">0.34</w:t>
            </w:r>
          </w:p>
        </w:tc>
        <w:tc>
          <w:tcPr/>
          <w:p>
            <w:pPr>
              <w:pStyle w:val="Compact"/>
              <w:jc w:val="left"/>
            </w:pPr>
            <w:r>
              <w:t xml:space="preserve">Me</w:t>
            </w:r>
          </w:p>
        </w:tc>
      </w:tr>
    </w:tbl>
    <w:bookmarkEnd w:id="63"/>
    <w:p>
      <w:pPr>
        <w:pStyle w:val="BodyText"/>
      </w:pPr>
      <w:r>
        <w:t xml:space="preserve">Table next</w:t>
      </w:r>
    </w:p>
    <w:bookmarkStart w:id="64" w:name="tbl-CPUErmse"/>
    <w:p>
      <w:pPr>
        <w:pStyle w:val="TableCaption"/>
      </w:pPr>
      <w:r>
        <w:t xml:space="preserve">Table 5: Mean input standard error (SE) in log-space (i.e., log(SE)) of lognormal error and root-mean-square-errors (RMSE) for the relative abundance indices for North Pacific swordfish used in the base-case model. S5 (TWN LL) and S8 (US LL shallow-late) were not included in the total likelihood.</w:t>
      </w:r>
    </w:p>
    <w:tbl>
      <w:tblPr>
        <w:tblStyle w:val="Table"/>
        <w:tblW w:type="auto" w:w="0"/>
        <w:tblLook w:firstRow="1" w:lastRow="0" w:firstColumn="0" w:lastColumn="0" w:noHBand="0" w:noVBand="0" w:val="0020"/>
        <w:tblCaption w:val="Table 5: Mean input standard error (SE) in log-space (i.e., log(SE)) of lognormal error and root-mean-square-errors (RMSE) for the relative abundance indices for North Pacific swordfish used in the base-case model. S5 (TWN LL) and S8 (US LL shallow-late) were not included in the total likelihood."/>
      </w:tblPr>
      <w:tblGrid>
        <w:gridCol w:w="2640"/>
        <w:gridCol w:w="2640"/>
        <w:gridCol w:w="2640"/>
      </w:tblGrid>
      <w:tr>
        <w:trPr>
          <w:tblHeader w:val="true"/>
        </w:trPr>
        <w:tc>
          <w:tcPr/>
          <w:p>
            <w:pPr>
              <w:pStyle w:val="Compact"/>
              <w:jc w:val="left"/>
            </w:pPr>
            <w:r>
              <w:t xml:space="preserve">Mean</w:t>
            </w:r>
          </w:p>
        </w:tc>
        <w:tc>
          <w:tcPr/>
          <w:p>
            <w:pPr>
              <w:pStyle w:val="Compact"/>
              <w:jc w:val="left"/>
            </w:pPr>
            <w:r>
              <w:t xml:space="preserve">Fleet</w:t>
            </w:r>
          </w:p>
        </w:tc>
        <w:tc>
          <w:tcPr/>
          <w:p>
            <w:pPr>
              <w:pStyle w:val="Compact"/>
              <w:jc w:val="left"/>
            </w:pPr>
            <w:r>
              <w:t xml:space="preserve">RMSE</w:t>
            </w:r>
          </w:p>
        </w:tc>
      </w:tr>
      <w:tr>
        <w:tc>
          <w:tcPr/>
          <w:p>
            <w:pPr>
              <w:pStyle w:val="Compact"/>
              <w:jc w:val="left"/>
            </w:pPr>
            <w:r>
              <w:t xml:space="preserve">4356</w:t>
            </w:r>
          </w:p>
        </w:tc>
        <w:tc>
          <w:tcPr/>
          <w:p>
            <w:pPr>
              <w:pStyle w:val="Compact"/>
              <w:jc w:val="left"/>
            </w:pPr>
            <w:r>
              <w:t xml:space="preserve">15645</w:t>
            </w:r>
          </w:p>
        </w:tc>
        <w:tc>
          <w:tcPr/>
          <w:p>
            <w:pPr>
              <w:pStyle w:val="Compact"/>
              <w:jc w:val="left"/>
            </w:pPr>
            <w:r>
              <w:t xml:space="preserve">2345</w:t>
            </w:r>
          </w:p>
        </w:tc>
      </w:tr>
    </w:tbl>
    <w:bookmarkEnd w:id="64"/>
    <w:p>
      <w:pPr>
        <w:pStyle w:val="BodyText"/>
      </w:pPr>
      <w:r>
        <w:t xml:space="preserve">Table Next</w:t>
      </w:r>
    </w:p>
    <w:bookmarkStart w:id="65" w:name="tbl-selectivity"/>
    <w:p>
      <w:pPr>
        <w:pStyle w:val="TableCaption"/>
      </w:pPr>
      <w:r>
        <w:t xml:space="preserve">Table 6: Fishery-specific selectivity assumptions for the North Pacific swordfish stock assessment. The selectivity curves for fisheries lacking length composition data were assumed to be the same as (i.e., mirror gear) closely related fisheries or fisheries operating in the same area.</w:t>
      </w:r>
    </w:p>
    <w:tbl>
      <w:tblPr>
        <w:tblStyle w:val="Table"/>
        <w:tblW w:type="auto" w:w="0"/>
        <w:tblLook w:firstRow="1" w:lastRow="0" w:firstColumn="0" w:lastColumn="0" w:noHBand="0" w:noVBand="0" w:val="0020"/>
        <w:tblCaption w:val="Table 6: Fishery-specific selectivity assumptions for the North Pacific swordfish stock assessment. The selectivity curves for fisheries lacking length composition data were assumed to be the same as (i.e., mirror gear) closely related fisheries or fisheries operating in the same area."/>
      </w:tblPr>
      <w:tblGrid>
        <w:gridCol w:w="3960"/>
        <w:gridCol w:w="3960"/>
      </w:tblGrid>
      <w:tr>
        <w:trPr>
          <w:tblHeader w:val="true"/>
        </w:trPr>
        <w:tc>
          <w:tcPr/>
          <w:p>
            <w:pPr>
              <w:pStyle w:val="Compact"/>
              <w:jc w:val="left"/>
            </w:pPr>
            <w:r>
              <w:t xml:space="preserve">Fleet</w:t>
            </w:r>
          </w:p>
        </w:tc>
        <w:tc>
          <w:tcPr/>
          <w:p>
            <w:pPr>
              <w:pStyle w:val="Compact"/>
              <w:jc w:val="left"/>
            </w:pPr>
            <w:r>
              <w:t xml:space="preserve">Selectivity Function</w:t>
            </w:r>
          </w:p>
        </w:tc>
      </w:tr>
      <w:tr>
        <w:tc>
          <w:tcPr/>
          <w:p>
            <w:pPr>
              <w:pStyle w:val="Compact"/>
              <w:jc w:val="left"/>
            </w:pPr>
            <w:r>
              <w:t xml:space="preserve">F1</w:t>
            </w:r>
          </w:p>
        </w:tc>
        <w:tc>
          <w:tcPr/>
          <w:p>
            <w:pPr>
              <w:pStyle w:val="Compact"/>
              <w:jc w:val="left"/>
            </w:pPr>
            <w:r>
              <w:t xml:space="preserve">Asymptoptic Func</w:t>
            </w:r>
          </w:p>
        </w:tc>
      </w:tr>
    </w:tbl>
    <w:bookmarkEnd w:id="65"/>
    <w:p>
      <w:pPr>
        <w:pStyle w:val="BodyText"/>
      </w:pPr>
      <w:r>
        <w:t xml:space="preserve">Table next</w:t>
      </w:r>
    </w:p>
    <w:bookmarkStart w:id="66" w:name="tbl-sensitivity"/>
    <w:p>
      <w:pPr>
        <w:pStyle w:val="TableCaption"/>
      </w:pPr>
      <w:r>
        <w:t xml:space="preserve">Table 7: Complete list of sensitivity runs conducted for the 2023 stock assessment of North Pacific swordfish.</w:t>
      </w:r>
    </w:p>
    <w:tbl>
      <w:tblPr>
        <w:tblStyle w:val="Table"/>
        <w:tblW w:type="auto" w:w="0"/>
        <w:tblLook w:firstRow="1" w:lastRow="0" w:firstColumn="0" w:lastColumn="0" w:noHBand="0" w:noVBand="0" w:val="0020"/>
        <w:tblCaption w:val="Table 7: Complete list of sensitivity runs conducted for the 2023 stock assessment of North Pacific swordfish."/>
      </w:tblPr>
      <w:tblGrid>
        <w:gridCol w:w="2640"/>
        <w:gridCol w:w="2640"/>
        <w:gridCol w:w="2640"/>
      </w:tblGrid>
      <w:tr>
        <w:trPr>
          <w:tblHeader w:val="true"/>
        </w:trPr>
        <w:tc>
          <w:tcPr/>
          <w:p>
            <w:pPr>
              <w:pStyle w:val="Compact"/>
              <w:jc w:val="left"/>
            </w:pPr>
            <w:r>
              <w:t xml:space="preserve">Run</w:t>
            </w:r>
          </w:p>
        </w:tc>
        <w:tc>
          <w:tcPr/>
          <w:p>
            <w:pPr>
              <w:pStyle w:val="Compact"/>
              <w:jc w:val="left"/>
            </w:pPr>
            <w:r>
              <w:t xml:space="preserve">Name</w:t>
            </w:r>
          </w:p>
        </w:tc>
        <w:tc>
          <w:tcPr/>
          <w:p>
            <w:pPr>
              <w:pStyle w:val="Compact"/>
              <w:jc w:val="left"/>
            </w:pPr>
            <w:r>
              <w:t xml:space="preserve">Description</w:t>
            </w:r>
          </w:p>
        </w:tc>
      </w:tr>
      <w:tr>
        <w:tc>
          <w:tcPr/>
          <w:p>
            <w:pPr>
              <w:pStyle w:val="Compact"/>
              <w:jc w:val="left"/>
            </w:pPr>
            <w:r>
              <w:t xml:space="preserve">go</w:t>
            </w:r>
          </w:p>
        </w:tc>
        <w:tc>
          <w:tcPr/>
          <w:p>
            <w:pPr>
              <w:pStyle w:val="Compact"/>
              <w:jc w:val="left"/>
            </w:pPr>
            <w:r>
              <w:t xml:space="preserve">fix</w:t>
            </w:r>
          </w:p>
        </w:tc>
        <w:tc>
          <w:tcPr/>
          <w:p>
            <w:pPr>
              <w:pStyle w:val="Compact"/>
              <w:jc w:val="left"/>
            </w:pPr>
            <w:r>
              <w:t xml:space="preserve">this one</w:t>
            </w:r>
          </w:p>
        </w:tc>
      </w:tr>
    </w:tbl>
    <w:bookmarkEnd w:id="66"/>
    <w:p>
      <w:pPr>
        <w:pStyle w:val="BodyText"/>
      </w:pPr>
      <w:r>
        <w:t xml:space="preserve"> </w:t>
      </w:r>
    </w:p>
    <w:bookmarkStart w:id="67" w:name="tbl-CPUElike"/>
    <w:p>
      <w:pPr>
        <w:pStyle w:val="TableCaption"/>
      </w:pPr>
      <w:r>
        <w:t xml:space="preserve">Table 8: Relative negative log-likelihoods of abundance index data components in the base case model over a range of fixed levels of virgin recruitment in log-scale (log(R0)). Likelihoods are relative to the minimum negative log-likelihood (best-fit) for each respective data component. Colors indicate relative likelihood (green: low negative log-likelihood, better-fit; red: high negative log-likelihood, poorer-fit). Maximum likelihood estimate of log(R0) was 6.84. See Table 1 for a description of the abundance indices. S5 and S8 were not included in the total likelihood.</w:t>
      </w:r>
    </w:p>
    <w:tbl>
      <w:tblPr>
        <w:tblStyle w:val="Table"/>
        <w:tblW w:type="auto" w:w="0"/>
        <w:tblLook w:firstRow="1" w:lastRow="0" w:firstColumn="0" w:lastColumn="0" w:noHBand="0" w:noVBand="0" w:val="0020"/>
        <w:tblCaption w:val="Table 8: Relative negative log-likelihoods of abundance index data components in the base case model over a range of fixed levels of virgin recruitment in log-scale (log(R0)). Likelihoods are relative to the minimum negative log-likelihood (best-fit) for each respective data component. Colors indicate relative likelihood (green: low negative log-likelihood, better-fit; red: high negative log-likelihood, poorer-fit). Maximum likelihood estimate of log(R0) was 6.84. See Table 1 for a description of the abundance indices. S5 and S8 were not included in the total likelihood."/>
      </w:tblPr>
      <w:tblGrid>
        <w:gridCol w:w="1320"/>
        <w:gridCol w:w="1320"/>
        <w:gridCol w:w="1320"/>
        <w:gridCol w:w="1320"/>
        <w:gridCol w:w="1320"/>
        <w:gridCol w:w="1320"/>
      </w:tblGrid>
      <w:tr>
        <w:trPr>
          <w:tblHeader w:val="true"/>
        </w:trPr>
        <w:tc>
          <w:tcPr/>
          <w:p>
            <w:pPr>
              <w:pStyle w:val="Compact"/>
              <w:jc w:val="left"/>
            </w:pPr>
            <w:r>
              <w:t xml:space="preserve">Fleet</w:t>
            </w:r>
          </w:p>
        </w:tc>
        <w:tc>
          <w:tcPr/>
          <w:p>
            <w:pPr>
              <w:pStyle w:val="Compact"/>
              <w:jc w:val="left"/>
            </w:pPr>
            <w:r>
              <w:t xml:space="preserve">R0</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ASDFJKL</w:t>
            </w:r>
          </w:p>
        </w:tc>
        <w:tc>
          <w:tcPr/>
          <w:p>
            <w:pPr>
              <w:pStyle w:val="Compact"/>
              <w:jc w:val="left"/>
            </w:pPr>
            <w:r>
              <w:t xml:space="preserve">asd</w:t>
            </w:r>
          </w:p>
        </w:tc>
        <w:tc>
          <w:tcPr/>
          <w:p>
            <w:pPr>
              <w:pStyle w:val="Compact"/>
              <w:jc w:val="left"/>
            </w:pPr>
            <w:r>
              <w:t xml:space="preserve">dfgh</w:t>
            </w:r>
          </w:p>
        </w:tc>
        <w:tc>
          <w:tcPr/>
          <w:p>
            <w:pPr>
              <w:pStyle w:val="Compact"/>
              <w:jc w:val="left"/>
            </w:pPr>
            <w:r>
              <w:t xml:space="preserve">jkl</w:t>
            </w:r>
          </w:p>
        </w:tc>
        <w:tc>
          <w:tcPr/>
          <w:p>
            <w:pPr>
              <w:pStyle w:val="Compact"/>
              <w:jc w:val="left"/>
            </w:pPr>
            <w:r>
              <w:t xml:space="preserve">qwe</w:t>
            </w:r>
          </w:p>
        </w:tc>
        <w:tc>
          <w:tcPr/>
          <w:p>
            <w:pPr>
              <w:pStyle w:val="Compact"/>
              <w:jc w:val="left"/>
            </w:pPr>
            <w:r>
              <w:t xml:space="preserve">rty</w:t>
            </w:r>
          </w:p>
        </w:tc>
      </w:tr>
    </w:tbl>
    <w:bookmarkEnd w:id="67"/>
    <w:p>
      <w:pPr>
        <w:pStyle w:val="BodyText"/>
      </w:pPr>
      <w:r>
        <w:t xml:space="preserve"> </w:t>
      </w:r>
    </w:p>
    <w:bookmarkStart w:id="68" w:name="tbl-lengthlike"/>
    <w:p>
      <w:pPr>
        <w:pStyle w:val="TableCaption"/>
      </w:pPr>
      <w:r>
        <w:t xml:space="preserve">Table 9: Relative negative log-likelihoods of length composition data components in the base case model over a range of fixed levels of virgin recruitment in log-scale (log(R0)). Likelihoods are relative to the minimum negative log-likelihood (best-fit) for each respective data component. Colors indicate relative likelihood (green: low negative log-likelihood, better-fit; red: high negative log-likelihood, poorer-fit). Maximum likelihood estimate of log(R0) was 6.84. See Table 1 for a description of the composition data.</w:t>
      </w:r>
    </w:p>
    <w:tbl>
      <w:tblPr>
        <w:tblStyle w:val="Table"/>
        <w:tblW w:type="auto" w:w="0"/>
        <w:tblLook w:firstRow="1" w:lastRow="0" w:firstColumn="0" w:lastColumn="0" w:noHBand="0" w:noVBand="0" w:val="0020"/>
        <w:tblCaption w:val="Table 9: Relative negative log-likelihoods of length composition data components in the base case model over a range of fixed levels of virgin recruitment in log-scale (log(R0)). Likelihoods are relative to the minimum negative log-likelihood (best-fit) for each respective data component. Colors indicate relative likelihood (green: low negative log-likelihood, better-fit; red: high negative log-likelihood, poorer-fit). Maximum likelihood estimate of log(R0) was 6.84. See Table 1 for a description of the composition data."/>
      </w:tblPr>
      <w:tblGrid>
        <w:gridCol w:w="3960"/>
        <w:gridCol w:w="3960"/>
      </w:tblGrid>
      <w:tr>
        <w:trPr>
          <w:tblHeader w:val="true"/>
        </w:trPr>
        <w:tc>
          <w:tcPr/>
          <w:p>
            <w:pPr>
              <w:pStyle w:val="Compact"/>
              <w:jc w:val="left"/>
            </w:pPr>
            <w:r>
              <w:t xml:space="preserve">size</w:t>
            </w:r>
          </w:p>
        </w:tc>
        <w:tc>
          <w:tcPr/>
          <w:p>
            <w:pPr>
              <w:pStyle w:val="Compact"/>
              <w:jc w:val="left"/>
            </w:pPr>
            <w:r>
              <w:t xml:space="preserve">likelihood</w:t>
            </w:r>
          </w:p>
        </w:tc>
      </w:tr>
      <w:tr>
        <w:tc>
          <w:tcPr/>
          <w:p>
            <w:pPr>
              <w:pStyle w:val="Compact"/>
              <w:jc w:val="left"/>
            </w:pPr>
            <w:r>
              <w:t xml:space="preserve">help</w:t>
            </w:r>
          </w:p>
        </w:tc>
        <w:tc>
          <w:tcPr/>
          <w:p>
            <w:pPr>
              <w:pStyle w:val="Compact"/>
              <w:jc w:val="left"/>
            </w:pPr>
            <w:r>
              <w:t xml:space="preserve">formating</w:t>
            </w:r>
          </w:p>
        </w:tc>
      </w:tr>
    </w:tbl>
    <w:bookmarkEnd w:id="68"/>
    <w:p>
      <w:pPr>
        <w:pStyle w:val="BodyText"/>
      </w:pPr>
      <w:r>
        <w:t xml:space="preserve"> </w:t>
      </w:r>
    </w:p>
    <w:bookmarkStart w:id="69" w:name="tbl-timeseries"/>
    <w:p>
      <w:pPr>
        <w:pStyle w:val="TableCaption"/>
      </w:pPr>
      <w:r>
        <w:t xml:space="preserve">Table 10: Time series of total biomass (age 1 and older, metric ton), spawning stock biomass (metric ton), age-0 recruitment (thousands of fish), and instantaneous fishing mortality (age 1-10, year-1) for the 2023 North Pacific swordfish estimated in the base-case model. SD = standard deviation.</w:t>
      </w:r>
    </w:p>
    <w:tbl>
      <w:tblPr>
        <w:tblStyle w:val="Table"/>
        <w:tblW w:type="auto" w:w="0"/>
        <w:tblLook w:firstRow="1" w:lastRow="0" w:firstColumn="0" w:lastColumn="0" w:noHBand="0" w:noVBand="0" w:val="0020"/>
        <w:tblCaption w:val="Table 10: Time series of total biomass (age 1 and older, metric ton), spawning stock biomass (metric ton), age-0 recruitment (thousands of fish), and instantaneous fishing mortality (age 1-10, year-1) for the 2023 North Pacific swordfish estimated in the base-case model. SD = standard deviation."/>
      </w:tblPr>
      <w:tblGrid>
        <w:gridCol w:w="3960"/>
        <w:gridCol w:w="3960"/>
      </w:tblGrid>
      <w:tr>
        <w:trPr>
          <w:tblHeader w:val="true"/>
        </w:trPr>
        <w:tc>
          <w:tcPr/>
          <w:p>
            <w:pPr>
              <w:pStyle w:val="Compact"/>
              <w:jc w:val="left"/>
            </w:pPr>
            <w:r>
              <w:t xml:space="preserve">ASDF</w:t>
            </w:r>
          </w:p>
        </w:tc>
        <w:tc>
          <w:tcPr/>
          <w:p>
            <w:pPr>
              <w:pStyle w:val="Compact"/>
              <w:jc w:val="left"/>
            </w:pPr>
            <w:r>
              <w:t xml:space="preserve">ASDF</w:t>
            </w:r>
          </w:p>
        </w:tc>
      </w:tr>
      <w:tr>
        <w:tc>
          <w:tcPr/>
          <w:p>
            <w:pPr>
              <w:pStyle w:val="Compact"/>
              <w:jc w:val="left"/>
            </w:pPr>
            <w:r>
              <w:t xml:space="preserve">place</w:t>
            </w:r>
          </w:p>
        </w:tc>
        <w:tc>
          <w:tcPr/>
          <w:p>
            <w:pPr>
              <w:pStyle w:val="Compact"/>
              <w:jc w:val="left"/>
            </w:pPr>
            <w:r>
              <w:t xml:space="preserve">hold</w:t>
            </w:r>
          </w:p>
        </w:tc>
      </w:tr>
    </w:tbl>
    <w:bookmarkEnd w:id="69"/>
    <w:p>
      <w:pPr>
        <w:pStyle w:val="BodyText"/>
      </w:pPr>
      <w:r>
        <w:t xml:space="preserve"> </w:t>
      </w:r>
    </w:p>
    <w:bookmarkStart w:id="70" w:name="tbl-summarystats"/>
    <w:p>
      <w:pPr>
        <w:pStyle w:val="TableCaption"/>
      </w:pPr>
      <w:r>
        <w:t xml:space="preserve">Table 11: Estimated biological reference points derived from the Stock Synthesis base case model for North Pacific swordfish where F is the instantaneous annual fishing mortality rate, SPR is the annual spawning potential ratio, SSB is spawning stock biomass, and SSB(F=0) indicates the average 5-year SSB0 estimate, 20%SSB¬(F=0) is the associated reference point, and MSY is the maximum sustainable yield reference point.</w:t>
      </w:r>
    </w:p>
    <w:tbl>
      <w:tblPr>
        <w:tblStyle w:val="Table"/>
        <w:tblW w:type="pct" w:w="5000"/>
        <w:tblLook w:firstRow="1" w:lastRow="0" w:firstColumn="0" w:lastColumn="0" w:noHBand="0" w:noVBand="0" w:val="0020"/>
        <w:tblCaption w:val="Table 11: Estimated biological reference points derived from the Stock Synthesis base case model for North Pacific swordfish where F is the instantaneous annual fishing mortality rate, SPR is the annual spawning potential ratio, SSB is spawning stock biomass, and SSB(F=0) indicates the average 5-year SSB0 estimate, 20%SSB¬(F=0) is the associated reference point, and MSY is the maximum sustainable yield reference point."/>
      </w:tblPr>
      <w:tblGrid>
        <w:gridCol w:w="4950"/>
        <w:gridCol w:w="2970"/>
      </w:tblGrid>
      <w:tr>
        <w:trPr>
          <w:tblHeader w:val="true"/>
        </w:trPr>
        <w:tc>
          <w:tcPr/>
          <w:p>
            <w:pPr>
              <w:pStyle w:val="Compact"/>
              <w:jc w:val="left"/>
            </w:pPr>
            <w:r>
              <w:t xml:space="preserve">Reference Point</w:t>
            </w:r>
          </w:p>
        </w:tc>
        <w:tc>
          <w:tcPr/>
          <w:p>
            <w:pPr>
              <w:pStyle w:val="Compact"/>
              <w:jc w:val="left"/>
            </w:pPr>
            <w:r>
              <w:t xml:space="preserve">Estimate</w:t>
            </w:r>
          </w:p>
        </w:tc>
      </w:tr>
      <w:tr>
        <w:tc>
          <w:tcPr/>
          <w:p>
            <w:pPr>
              <w:pStyle w:val="Compact"/>
              <w:jc w:val="left"/>
            </w:pPr>
            <w:r>
              <w:t xml:space="preserve">F</w:t>
            </w:r>
            <w:r>
              <w:rPr>
                <w:vertAlign w:val="subscript"/>
              </w:rPr>
              <w:t xml:space="preserve">20%SSB(F=0)</w:t>
            </w:r>
            <w:r>
              <w:t xml:space="preserve"> </w:t>
            </w:r>
            <w:r>
              <w:t xml:space="preserve">(age 1-10)</w:t>
            </w:r>
          </w:p>
        </w:tc>
        <w:tc>
          <w:tcPr/>
          <w:p>
            <w:pPr>
              <w:pStyle w:val="Compact"/>
              <w:jc w:val="left"/>
            </w:pPr>
            <w:r>
              <w:t xml:space="preserve">0.16</w:t>
            </w:r>
          </w:p>
        </w:tc>
      </w:tr>
      <w:tr>
        <w:tc>
          <w:tcPr/>
          <w:p>
            <w:pPr>
              <w:pStyle w:val="Compact"/>
              <w:jc w:val="left"/>
            </w:pPr>
            <w:r>
              <w:t xml:space="preserve">F</w:t>
            </w:r>
            <w:r>
              <w:rPr>
                <w:vertAlign w:val="subscript"/>
              </w:rPr>
              <w:t xml:space="preserve">MSY</w:t>
            </w:r>
            <w:r>
              <w:t xml:space="preserve"> </w:t>
            </w:r>
            <w:r>
              <w:t xml:space="preserve">(age 1-10)</w:t>
            </w:r>
          </w:p>
        </w:tc>
        <w:tc>
          <w:tcPr/>
          <w:p>
            <w:pPr>
              <w:pStyle w:val="Compact"/>
              <w:jc w:val="left"/>
            </w:pPr>
            <w:r>
              <w:t xml:space="preserve">0.18</w:t>
            </w:r>
          </w:p>
        </w:tc>
      </w:tr>
      <w:tr>
        <w:tc>
          <w:tcPr/>
          <w:p>
            <w:pPr>
              <w:pStyle w:val="Compact"/>
              <w:jc w:val="left"/>
            </w:pPr>
            <w:r>
              <w:t xml:space="preserve">F</w:t>
            </w:r>
            <w:r>
              <w:rPr>
                <w:vertAlign w:val="subscript"/>
              </w:rPr>
              <w:t xml:space="preserve">2021</w:t>
            </w:r>
          </w:p>
        </w:tc>
        <w:tc>
          <w:tcPr/>
          <w:p>
            <w:pPr>
              <w:pStyle w:val="Compact"/>
              <w:jc w:val="left"/>
            </w:pPr>
            <w:r>
              <w:t xml:space="preserve">0.09</w:t>
            </w:r>
          </w:p>
        </w:tc>
      </w:tr>
      <w:tr>
        <w:tc>
          <w:tcPr/>
          <w:p>
            <w:pPr>
              <w:pStyle w:val="Compact"/>
              <w:jc w:val="left"/>
            </w:pPr>
            <w:r>
              <w:t xml:space="preserve">F</w:t>
            </w:r>
            <w:r>
              <w:rPr>
                <w:vertAlign w:val="subscript"/>
              </w:rPr>
              <w:t xml:space="preserve">2019-2021</w:t>
            </w:r>
          </w:p>
        </w:tc>
        <w:tc>
          <w:tcPr/>
          <w:p>
            <w:pPr>
              <w:pStyle w:val="Compact"/>
              <w:jc w:val="left"/>
            </w:pPr>
            <w:r>
              <w:t xml:space="preserve">0.09</w:t>
            </w:r>
          </w:p>
        </w:tc>
      </w:tr>
      <w:tr>
        <w:tc>
          <w:tcPr/>
          <w:p>
            <w:pPr>
              <w:pStyle w:val="Compact"/>
              <w:jc w:val="left"/>
            </w:pPr>
            <w:r>
              <w:t xml:space="preserve">SSB</w:t>
            </w:r>
            <w:r>
              <w:rPr>
                <w:vertAlign w:val="subscript"/>
              </w:rPr>
              <w:t xml:space="preserve">F=0</w:t>
            </w:r>
          </w:p>
        </w:tc>
        <w:tc>
          <w:tcPr/>
          <w:p>
            <w:pPr>
              <w:pStyle w:val="Compact"/>
              <w:jc w:val="left"/>
            </w:pPr>
            <w:r>
              <w:t xml:space="preserve">95,732</w:t>
            </w:r>
          </w:p>
        </w:tc>
      </w:tr>
      <w:tr>
        <w:tc>
          <w:tcPr/>
          <w:p>
            <w:pPr>
              <w:pStyle w:val="Compact"/>
              <w:jc w:val="left"/>
            </w:pPr>
            <w:r>
              <w:t xml:space="preserve">20%SSB</w:t>
            </w:r>
            <w:r>
              <w:rPr>
                <w:vertAlign w:val="subscript"/>
              </w:rPr>
              <w:t xml:space="preserve">F=0</w:t>
            </w:r>
          </w:p>
        </w:tc>
        <w:tc>
          <w:tcPr/>
          <w:p>
            <w:pPr>
              <w:pStyle w:val="Compact"/>
              <w:jc w:val="left"/>
            </w:pPr>
            <w:r>
              <w:t xml:space="preserve">19,146</w:t>
            </w:r>
          </w:p>
        </w:tc>
      </w:tr>
      <w:tr>
        <w:tc>
          <w:tcPr/>
          <w:p>
            <w:pPr>
              <w:pStyle w:val="Compact"/>
              <w:jc w:val="left"/>
            </w:pPr>
            <w:r>
              <w:t xml:space="preserve">SSB</w:t>
            </w:r>
            <w:r>
              <w:rPr>
                <w:vertAlign w:val="subscript"/>
              </w:rPr>
              <w:t xml:space="preserve">MSY</w:t>
            </w:r>
          </w:p>
        </w:tc>
        <w:tc>
          <w:tcPr/>
          <w:p>
            <w:pPr>
              <w:pStyle w:val="Compact"/>
              <w:jc w:val="left"/>
            </w:pPr>
            <w:r>
              <w:t xml:space="preserve">16,388</w:t>
            </w:r>
          </w:p>
        </w:tc>
      </w:tr>
      <w:tr>
        <w:tc>
          <w:tcPr/>
          <w:p>
            <w:pPr>
              <w:pStyle w:val="Compact"/>
              <w:jc w:val="left"/>
            </w:pPr>
            <w:r>
              <w:t xml:space="preserve">SSB</w:t>
            </w:r>
            <w:r>
              <w:rPr>
                <w:vertAlign w:val="subscript"/>
              </w:rPr>
              <w:t xml:space="preserve">2021</w:t>
            </w:r>
          </w:p>
        </w:tc>
        <w:tc>
          <w:tcPr/>
          <w:p>
            <w:pPr>
              <w:pStyle w:val="Compact"/>
              <w:jc w:val="left"/>
            </w:pPr>
            <w:r>
              <w:t xml:space="preserve">35,778</w:t>
            </w:r>
          </w:p>
        </w:tc>
      </w:tr>
      <w:tr>
        <w:tc>
          <w:tcPr/>
          <w:p>
            <w:pPr>
              <w:pStyle w:val="Compact"/>
              <w:jc w:val="left"/>
            </w:pPr>
            <w:r>
              <w:t xml:space="preserve">SSB</w:t>
            </w:r>
            <w:r>
              <w:rPr>
                <w:vertAlign w:val="subscript"/>
              </w:rPr>
              <w:t xml:space="preserve">2019-2021</w:t>
            </w:r>
          </w:p>
        </w:tc>
        <w:tc>
          <w:tcPr/>
          <w:p>
            <w:pPr>
              <w:pStyle w:val="Compact"/>
              <w:jc w:val="left"/>
            </w:pPr>
            <w:r>
              <w:t xml:space="preserve">34,899</w:t>
            </w:r>
          </w:p>
        </w:tc>
      </w:tr>
      <w:tr>
        <w:tc>
          <w:tcPr/>
          <w:p>
            <w:pPr>
              <w:pStyle w:val="Compact"/>
              <w:jc w:val="left"/>
            </w:pPr>
            <w:r>
              <w:t xml:space="preserve">C</w:t>
            </w:r>
            <w:r>
              <w:rPr>
                <w:vertAlign w:val="subscript"/>
              </w:rPr>
              <w:t xml:space="preserve">20%SSB(F=0)</w:t>
            </w:r>
          </w:p>
        </w:tc>
        <w:tc>
          <w:tcPr/>
          <w:p>
            <w:pPr>
              <w:pStyle w:val="Compact"/>
              <w:jc w:val="left"/>
            </w:pPr>
            <w:r>
              <w:t xml:space="preserve">14,815</w:t>
            </w:r>
          </w:p>
        </w:tc>
      </w:tr>
      <w:tr>
        <w:tc>
          <w:tcPr/>
          <w:p>
            <w:pPr>
              <w:pStyle w:val="Compact"/>
              <w:jc w:val="left"/>
            </w:pPr>
            <w:r>
              <w:t xml:space="preserve">C</w:t>
            </w:r>
            <w:r>
              <w:rPr>
                <w:vertAlign w:val="subscript"/>
              </w:rPr>
              <w:t xml:space="preserve">MSY</w:t>
            </w:r>
          </w:p>
        </w:tc>
        <w:tc>
          <w:tcPr/>
          <w:p>
            <w:pPr>
              <w:pStyle w:val="Compact"/>
              <w:jc w:val="left"/>
            </w:pPr>
            <w:r>
              <w:t xml:space="preserve">14,924</w:t>
            </w:r>
          </w:p>
        </w:tc>
      </w:tr>
      <w:tr>
        <w:tc>
          <w:tcPr/>
          <w:p>
            <w:pPr>
              <w:pStyle w:val="Compact"/>
              <w:jc w:val="left"/>
            </w:pPr>
            <w:r>
              <w:t xml:space="preserve">C</w:t>
            </w:r>
            <w:r>
              <w:rPr>
                <w:vertAlign w:val="subscript"/>
              </w:rPr>
              <w:t xml:space="preserve">2019-2021</w:t>
            </w:r>
          </w:p>
        </w:tc>
        <w:tc>
          <w:tcPr/>
          <w:p>
            <w:pPr>
              <w:pStyle w:val="Compact"/>
              <w:jc w:val="left"/>
            </w:pPr>
            <w:r>
              <w:t xml:space="preserve">10,653</w:t>
            </w:r>
          </w:p>
        </w:tc>
      </w:tr>
      <w:tr>
        <w:tc>
          <w:tcPr/>
          <w:p>
            <w:pPr>
              <w:pStyle w:val="Compact"/>
              <w:jc w:val="left"/>
            </w:pPr>
            <w:r>
              <w:t xml:space="preserve">SPR</w:t>
            </w:r>
            <w:r>
              <w:rPr>
                <w:vertAlign w:val="subscript"/>
              </w:rPr>
              <w:t xml:space="preserve">20%SSB(F=0)</w:t>
            </w:r>
          </w:p>
        </w:tc>
        <w:tc>
          <w:tcPr/>
          <w:p>
            <w:pPr>
              <w:pStyle w:val="Compact"/>
              <w:jc w:val="left"/>
            </w:pPr>
            <w:r>
              <w:t xml:space="preserve">22%</w:t>
            </w:r>
          </w:p>
        </w:tc>
      </w:tr>
      <w:tr>
        <w:tc>
          <w:tcPr/>
          <w:p>
            <w:pPr>
              <w:pStyle w:val="Compact"/>
              <w:jc w:val="left"/>
            </w:pPr>
            <w:r>
              <w:t xml:space="preserve">SPR</w:t>
            </w:r>
            <w:r>
              <w:rPr>
                <w:vertAlign w:val="subscript"/>
              </w:rPr>
              <w:t xml:space="preserve">MSY</w:t>
            </w:r>
          </w:p>
        </w:tc>
        <w:tc>
          <w:tcPr/>
          <w:p>
            <w:pPr>
              <w:pStyle w:val="Compact"/>
              <w:jc w:val="left"/>
            </w:pPr>
            <w:r>
              <w:t xml:space="preserve">19%</w:t>
            </w:r>
          </w:p>
        </w:tc>
      </w:tr>
      <w:tr>
        <w:tc>
          <w:tcPr/>
          <w:p>
            <w:pPr>
              <w:pStyle w:val="Compact"/>
              <w:jc w:val="left"/>
            </w:pPr>
            <w:r>
              <w:t xml:space="preserve">SPR</w:t>
            </w:r>
            <w:r>
              <w:rPr>
                <w:vertAlign w:val="subscript"/>
              </w:rPr>
              <w:t xml:space="preserve">2021</w:t>
            </w:r>
          </w:p>
        </w:tc>
        <w:tc>
          <w:tcPr/>
          <w:p>
            <w:pPr>
              <w:pStyle w:val="Compact"/>
              <w:jc w:val="left"/>
            </w:pPr>
            <w:r>
              <w:t xml:space="preserve">44%</w:t>
            </w:r>
          </w:p>
        </w:tc>
      </w:tr>
      <w:tr>
        <w:tc>
          <w:tcPr/>
          <w:p>
            <w:pPr>
              <w:pStyle w:val="Compact"/>
              <w:jc w:val="left"/>
            </w:pPr>
            <w:r>
              <w:t xml:space="preserve">SPR</w:t>
            </w:r>
            <w:r>
              <w:rPr>
                <w:vertAlign w:val="subscript"/>
              </w:rPr>
              <w:t xml:space="preserve">2019-2021</w:t>
            </w:r>
          </w:p>
        </w:tc>
        <w:tc>
          <w:tcPr/>
          <w:p>
            <w:pPr>
              <w:pStyle w:val="Compact"/>
              <w:jc w:val="left"/>
            </w:pPr>
            <w:r>
              <w:t xml:space="preserve">43%</w:t>
            </w:r>
          </w:p>
        </w:tc>
      </w:tr>
    </w:tbl>
    <w:bookmarkEnd w:id="70"/>
    <w:p>
      <w:pPr>
        <w:pStyle w:val="BodyText"/>
      </w:pPr>
      <w:r>
        <w:t xml:space="preserve"> </w:t>
      </w:r>
    </w:p>
    <w:bookmarkStart w:id="71" w:name="tbl-projections"/>
    <w:p>
      <w:pPr>
        <w:pStyle w:val="TableCaption"/>
      </w:pPr>
      <w:r>
        <w:t xml:space="preserve">Table 12: Projected median values of North Pacific swordfish spawning stock biomass (SSB, mt) and catch (mt) in 2022-2031.</w:t>
      </w:r>
    </w:p>
    <w:tbl>
      <w:tblPr>
        <w:tblStyle w:val="Table"/>
        <w:tblW w:type="auto" w:w="0"/>
        <w:tblLook w:firstRow="1" w:lastRow="0" w:firstColumn="0" w:lastColumn="0" w:noHBand="0" w:noVBand="0" w:val="0020"/>
        <w:tblCaption w:val="Table 12: Projected median values of North Pacific swordfish spawning stock biomass (SSB, mt) and catch (mt) in 2022-2031."/>
      </w:tblPr>
      <w:tblGrid>
        <w:gridCol w:w="3960"/>
        <w:gridCol w:w="3960"/>
      </w:tblGrid>
      <w:tr>
        <w:trPr>
          <w:tblHeader w:val="true"/>
        </w:trPr>
        <w:tc>
          <w:tcPr/>
          <w:p>
            <w:pPr>
              <w:pStyle w:val="Compact"/>
              <w:jc w:val="left"/>
            </w:pPr>
            <w:r>
              <w:t xml:space="preserve">XXYY</w:t>
            </w:r>
          </w:p>
        </w:tc>
        <w:tc>
          <w:tcPr/>
          <w:p>
            <w:pPr>
              <w:pStyle w:val="Compact"/>
              <w:jc w:val="left"/>
            </w:pPr>
            <w:r>
              <w:t xml:space="preserve">ZZAA</w:t>
            </w:r>
          </w:p>
        </w:tc>
      </w:tr>
      <w:tr>
        <w:tc>
          <w:tcPr/>
          <w:p>
            <w:pPr>
              <w:pStyle w:val="Compact"/>
              <w:jc w:val="left"/>
            </w:pPr>
            <w:r>
              <w:t xml:space="preserve">213</w:t>
            </w:r>
          </w:p>
        </w:tc>
        <w:tc>
          <w:tcPr/>
          <w:p>
            <w:pPr>
              <w:pStyle w:val="Compact"/>
              <w:jc w:val="left"/>
            </w:pPr>
            <w:r>
              <w:t xml:space="preserve">1324</w:t>
            </w:r>
          </w:p>
        </w:tc>
      </w:tr>
    </w:tbl>
    <w:bookmarkEnd w:id="71"/>
    <w:bookmarkEnd w:id="72"/>
    <w:bookmarkStart w:id="28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76" w:name="fig-stockareas2"/>
          <w:p>
            <w:pPr>
              <w:pStyle w:val="Figure"/>
              <w:jc w:val="center"/>
            </w:pPr>
            <w:r>
              <w:drawing>
                <wp:inline>
                  <wp:extent cx="5334000" cy="3000375"/>
                  <wp:effectExtent b="0" l="0" r="0" t="0"/>
                  <wp:docPr descr="" title="" id="74" name="Picture"/>
                  <a:graphic>
                    <a:graphicData uri="http://schemas.openxmlformats.org/drawingml/2006/picture">
                      <pic:pic>
                        <pic:nvPicPr>
                          <pic:cNvPr descr="2023_SWO_stock_boundary.png" id="75"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Western and Central North Pacific Ocean and North Eastern Pacific Ocean swordfish stock boundaries for the 2023 North Pacific swordfish assessment. Spatial structure is treated implicitly using fleets as areas.</w:t>
            </w:r>
          </w:p>
          <w:bookmarkEnd w:id="7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0" w:name="fig-dataplot"/>
          <w:p>
            <w:pPr>
              <w:pStyle w:val="Figure"/>
              <w:jc w:val="center"/>
            </w:pPr>
            <w:r>
              <w:drawing>
                <wp:inline>
                  <wp:extent cx="5334000" cy="3333750"/>
                  <wp:effectExtent b="0" l="0" r="0" t="0"/>
                  <wp:docPr descr="" title="" id="78" name="Picture"/>
                  <a:graphic>
                    <a:graphicData uri="http://schemas.openxmlformats.org/drawingml/2006/picture">
                      <pic:pic>
                        <pic:nvPicPr>
                          <pic:cNvPr descr="BILLWG_SAR_files/figure-docx/fig-dataplot-1.png" id="79" name="Picture"/>
                          <pic:cNvPicPr>
                            <a:picLocks noChangeArrowheads="1" noChangeAspect="1"/>
                          </pic:cNvPicPr>
                        </pic:nvPicPr>
                        <pic:blipFill>
                          <a:blip r:embed="rId77"/>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Catch, CPUE index, and size composition data included in the 2023 NP swordfish stock assessment. The size of the bubble indicates the relative number of observations available.</w:t>
            </w:r>
          </w:p>
          <w:bookmarkEnd w:id="8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4" w:name="fig-catchbyfleet"/>
          <w:p>
            <w:pPr>
              <w:pStyle w:val="Figure"/>
              <w:jc w:val="center"/>
            </w:pPr>
            <w:r>
              <w:drawing>
                <wp:inline>
                  <wp:extent cx="5334000" cy="4267200"/>
                  <wp:effectExtent b="0" l="0" r="0" t="0"/>
                  <wp:docPr descr="" title="" id="82" name="Picture"/>
                  <a:graphic>
                    <a:graphicData uri="http://schemas.openxmlformats.org/drawingml/2006/picture">
                      <pic:pic>
                        <pic:nvPicPr>
                          <pic:cNvPr descr="BILLWG_SAR_files/figure-docx/fig-catchbyfleet-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annual catch of the North Pacific swordfish by all fisheries harvesting the stock during 1975-2021. See Table 1 for the reference code for each fishery.</w:t>
            </w:r>
          </w:p>
          <w:bookmarkEnd w:id="8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8" w:name="fig-FLRsmoother"/>
          <w:p>
            <w:pPr>
              <w:pStyle w:val="Figure"/>
              <w:jc w:val="center"/>
            </w:pPr>
            <w:r>
              <w:drawing>
                <wp:inline>
                  <wp:extent cx="4620126" cy="3696101"/>
                  <wp:effectExtent b="0" l="0" r="0" t="0"/>
                  <wp:docPr descr="" title="" id="86" name="Picture"/>
                  <a:graphic>
                    <a:graphicData uri="http://schemas.openxmlformats.org/drawingml/2006/picture">
                      <pic:pic>
                        <pic:nvPicPr>
                          <pic:cNvPr descr="BILLWG_SAR_files/figure-docx/fig-FLRsmoother-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Plot of CPUE index by fleet with a simple loess smoother fit to each time series. This provides information on the general trend of the indices considered for inclusion in the model and identifies potential conflict between indices.</w:t>
            </w:r>
          </w:p>
          <w:bookmarkEnd w:id="88"/>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90" name="Picture"/>
                  <a:graphic>
                    <a:graphicData uri="http://schemas.openxmlformats.org/drawingml/2006/picture">
                      <pic:pic>
                        <pic:nvPicPr>
                          <pic:cNvPr descr="Final%20Base-case/plots/comp_lendat__page1_multi-fleet_comparison.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93" name="Picture"/>
                  <a:graphic>
                    <a:graphicData uri="http://schemas.openxmlformats.org/drawingml/2006/picture">
                      <pic:pic>
                        <pic:nvPicPr>
                          <pic:cNvPr descr="Final%20Base-case/plots/comp_lendat__page2_multi-fleet_comparison.png" id="94"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Length Composition data available in 5cm size bins for the 2023 North Pacific swordfish (Xiphias gladius) stock assessment.</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98" w:name="fig-SizeAggFits"/>
          <w:p>
            <w:pPr>
              <w:pStyle w:val="Figure"/>
              <w:jc w:val="center"/>
            </w:pPr>
            <w:r>
              <w:drawing>
                <wp:inline>
                  <wp:extent cx="5334000" cy="5334000"/>
                  <wp:effectExtent b="0" l="0" r="0" t="0"/>
                  <wp:docPr descr="" title="" id="96" name="Picture"/>
                  <a:graphic>
                    <a:graphicData uri="http://schemas.openxmlformats.org/drawingml/2006/picture">
                      <pic:pic>
                        <pic:nvPicPr>
                          <pic:cNvPr descr="Final%20Base-case/plots/comp_lenfit__aggregated_across_time.png" id="97"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Aggregated Size comp data (grey) and model fit (green)</w:t>
            </w:r>
          </w:p>
          <w:bookmarkEnd w:id="9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2" w:name="fig-F1TVSelec"/>
          <w:p>
            <w:pPr>
              <w:pStyle w:val="Figure"/>
              <w:jc w:val="center"/>
            </w:pPr>
            <w:r>
              <w:drawing>
                <wp:inline>
                  <wp:extent cx="5334000" cy="3282461"/>
                  <wp:effectExtent b="0" l="0" r="0" t="0"/>
                  <wp:docPr descr="" title="" id="100" name="Picture"/>
                  <a:graphic>
                    <a:graphicData uri="http://schemas.openxmlformats.org/drawingml/2006/picture">
                      <pic:pic>
                        <pic:nvPicPr>
                          <pic:cNvPr descr="Final%20Base-case/plots/sel03_len_timevary_surf_flt1sex1.png" id="101" name="Picture"/>
                          <pic:cNvPicPr>
                            <a:picLocks noChangeArrowheads="1" noChangeAspect="1"/>
                          </pic:cNvPicPr>
                        </pic:nvPicPr>
                        <pic:blipFill>
                          <a:blip r:embed="rId99"/>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Time-varying selelctivity estimated for F01 Japanese LL Area 1 Late.</w:t>
            </w:r>
          </w:p>
          <w:bookmarkEnd w:id="10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6" w:name="fig-F2TVSelec"/>
          <w:p>
            <w:pPr>
              <w:pStyle w:val="Figure"/>
              <w:jc w:val="center"/>
            </w:pPr>
            <w:r>
              <w:drawing>
                <wp:inline>
                  <wp:extent cx="5334000" cy="3282461"/>
                  <wp:effectExtent b="0" l="0" r="0" t="0"/>
                  <wp:docPr descr="" title="" id="104" name="Picture"/>
                  <a:graphic>
                    <a:graphicData uri="http://schemas.openxmlformats.org/drawingml/2006/picture">
                      <pic:pic>
                        <pic:nvPicPr>
                          <pic:cNvPr descr="Final%20Base-case/plots/sel03_len_timevary_surf_flt2sex1.png" id="105" name="Picture"/>
                          <pic:cNvPicPr>
                            <a:picLocks noChangeArrowheads="1" noChangeAspect="1"/>
                          </pic:cNvPicPr>
                        </pic:nvPicPr>
                        <pic:blipFill>
                          <a:blip r:embed="rId103"/>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Time-varying selectivity estimated for F02 Chinese Taipei LL late.</w:t>
            </w:r>
          </w:p>
          <w:bookmarkEnd w:id="106"/>
        </w:tc>
      </w:tr>
    </w:tbl>
    <w:p>
      <w:pPr>
        <w:pStyle w:val="BodyText"/>
      </w:pPr>
      <w:r>
        <w:t xml:space="preserve"> </w:t>
      </w: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975104" cy="1215448"/>
                        <wp:effectExtent b="0" l="0" r="0" t="0"/>
                        <wp:docPr descr="" title="" id="108" name="Picture"/>
                        <a:graphic>
                          <a:graphicData uri="http://schemas.openxmlformats.org/drawingml/2006/picture">
                            <pic:pic>
                              <pic:nvPicPr>
                                <pic:cNvPr descr="Final%20Base-case/plots/sel09_len_flt3sex1.png" id="109" name="Picture"/>
                                <pic:cNvPicPr>
                                  <a:picLocks noChangeArrowheads="1" noChangeAspect="1"/>
                                </pic:cNvPicPr>
                              </pic:nvPicPr>
                              <pic:blipFill>
                                <a:blip r:embed="rId107"/>
                                <a:stretch>
                                  <a:fillRect/>
                                </a:stretch>
                              </pic:blipFill>
                              <pic:spPr bwMode="auto">
                                <a:xfrm>
                                  <a:off x="0" y="0"/>
                                  <a:ext cx="1975104" cy="121544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F03_US_WCNPO_LL_shallow_late</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975104" cy="1215448"/>
                        <wp:effectExtent b="0" l="0" r="0" t="0"/>
                        <wp:docPr descr="" title="" id="111" name="Picture"/>
                        <a:graphic>
                          <a:graphicData uri="http://schemas.openxmlformats.org/drawingml/2006/picture">
                            <pic:pic>
                              <pic:nvPicPr>
                                <pic:cNvPr descr="Final%20Base-case/plots/sel09_len_flt4sex1.png" id="112" name="Picture"/>
                                <pic:cNvPicPr>
                                  <a:picLocks noChangeArrowheads="1" noChangeAspect="1"/>
                                </pic:cNvPicPr>
                              </pic:nvPicPr>
                              <pic:blipFill>
                                <a:blip r:embed="rId110"/>
                                <a:stretch>
                                  <a:fillRect/>
                                </a:stretch>
                              </pic:blipFill>
                              <pic:spPr bwMode="auto">
                                <a:xfrm>
                                  <a:off x="0" y="0"/>
                                  <a:ext cx="1975104" cy="121544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F04_IATTC</w:t>
                  </w:r>
                </w:p>
              </w:tc>
            </w:tr>
          </w:tbl>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975104" cy="1215448"/>
                        <wp:effectExtent b="0" l="0" r="0" t="0"/>
                        <wp:docPr descr="" title="" id="114" name="Picture"/>
                        <a:graphic>
                          <a:graphicData uri="http://schemas.openxmlformats.org/drawingml/2006/picture">
                            <pic:pic>
                              <pic:nvPicPr>
                                <pic:cNvPr descr="Final%20Base-case/plots/sel09_len_flt6sex1.png" id="115" name="Picture"/>
                                <pic:cNvPicPr>
                                  <a:picLocks noChangeArrowheads="1" noChangeAspect="1"/>
                                </pic:cNvPicPr>
                              </pic:nvPicPr>
                              <pic:blipFill>
                                <a:blip r:embed="rId113"/>
                                <a:stretch>
                                  <a:fillRect/>
                                </a:stretch>
                              </pic:blipFill>
                              <pic:spPr bwMode="auto">
                                <a:xfrm>
                                  <a:off x="0" y="0"/>
                                  <a:ext cx="1975104" cy="121544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F06_JPN_WCNPO_OSDWLL_early_Area1</w:t>
                  </w:r>
                </w:p>
              </w:tc>
            </w:tr>
          </w:tbl>
          <w:p/>
        </w:tc>
        <w:tc>
          <w:tcPr/>
          <w:p>
            <w:pPr>
              <w:jc w:val="center"/>
            </w:pPr>
            <w:r>
              <w:t xml:space="preserve"> </w:t>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975104" cy="1215448"/>
                        <wp:effectExtent b="0" l="0" r="0" t="0"/>
                        <wp:docPr descr="" title="" id="117" name="Picture"/>
                        <a:graphic>
                          <a:graphicData uri="http://schemas.openxmlformats.org/drawingml/2006/picture">
                            <pic:pic>
                              <pic:nvPicPr>
                                <pic:cNvPr descr="Final%20Base-case/plots/sel09_len_flt7sex1.png" id="118" name="Picture"/>
                                <pic:cNvPicPr>
                                  <a:picLocks noChangeArrowheads="1" noChangeAspect="1"/>
                                </pic:cNvPicPr>
                              </pic:nvPicPr>
                              <pic:blipFill>
                                <a:blip r:embed="rId116"/>
                                <a:stretch>
                                  <a:fillRect/>
                                </a:stretch>
                              </pic:blipFill>
                              <pic:spPr bwMode="auto">
                                <a:xfrm>
                                  <a:off x="0" y="0"/>
                                  <a:ext cx="1975104" cy="121544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F07_JPN_WCNPO_CODF</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975104" cy="1215448"/>
                        <wp:effectExtent b="0" l="0" r="0" t="0"/>
                        <wp:docPr descr="" title="" id="120" name="Picture"/>
                        <a:graphic>
                          <a:graphicData uri="http://schemas.openxmlformats.org/drawingml/2006/picture">
                            <pic:pic>
                              <pic:nvPicPr>
                                <pic:cNvPr descr="Final%20Base-case/plots/sel09_len_flt8sex1.png" id="121" name="Picture"/>
                                <pic:cNvPicPr>
                                  <a:picLocks noChangeArrowheads="1" noChangeAspect="1"/>
                                </pic:cNvPicPr>
                              </pic:nvPicPr>
                              <pic:blipFill>
                                <a:blip r:embed="rId119"/>
                                <a:stretch>
                                  <a:fillRect/>
                                </a:stretch>
                              </pic:blipFill>
                              <pic:spPr bwMode="auto">
                                <a:xfrm>
                                  <a:off x="0" y="0"/>
                                  <a:ext cx="1975104" cy="121544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F08_US_WCNPO_LL_shallow_early</w:t>
                  </w:r>
                </w:p>
              </w:tc>
            </w:tr>
          </w:tbl>
          <w:p/>
        </w:tc>
      </w:tr>
    </w:tbl>
    <w:p>
      <w:pPr>
        <w:pStyle w:val="BodyText"/>
      </w:pPr>
      <w:pPr>
        <w:spacing w:before="200"/>
        <w:pStyle w:val="ImageCaption"/>
      </w:pPr>
      <w:r>
        <w:t xml:space="preserve">Figure 9: Selectivity estimates for each of the five fleets without time-varying parameters.</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25" w:name="fig-jitter"/>
          <w:p>
            <w:pPr>
              <w:pStyle w:val="Figure"/>
              <w:jc w:val="center"/>
            </w:pPr>
            <w:r>
              <w:drawing>
                <wp:inline>
                  <wp:extent cx="4620126" cy="3696101"/>
                  <wp:effectExtent b="0" l="0" r="0" t="0"/>
                  <wp:docPr descr="" title="" id="123" name="Picture"/>
                  <a:graphic>
                    <a:graphicData uri="http://schemas.openxmlformats.org/drawingml/2006/picture">
                      <pic:pic>
                        <pic:nvPicPr>
                          <pic:cNvPr descr="BILLWG_SAR_files/figure-docx/fig-jitter-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Plot of RO versus total likelihood for 100 jitter runs for the base-case model (black points). The base-case model is indicated by the red point.</w:t>
            </w:r>
          </w:p>
          <w:bookmarkEnd w:id="12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29" w:name="fig-OverallLikelihood"/>
          <w:p>
            <w:pPr>
              <w:pStyle w:val="Figure"/>
              <w:jc w:val="center"/>
            </w:pPr>
            <w:r>
              <w:drawing>
                <wp:inline>
                  <wp:extent cx="5334000" cy="5334000"/>
                  <wp:effectExtent b="0" l="0" r="0" t="0"/>
                  <wp:docPr descr="" title="" id="127" name="Picture"/>
                  <a:graphic>
                    <a:graphicData uri="http://schemas.openxmlformats.org/drawingml/2006/picture">
                      <pic:pic>
                        <pic:nvPicPr>
                          <pic:cNvPr descr="Final%20Base-case/plots/Overall_Likelihood.png" id="128" name="Picture"/>
                          <pic:cNvPicPr>
                            <a:picLocks noChangeArrowheads="1" noChangeAspect="1"/>
                          </pic:cNvPicPr>
                        </pic:nvPicPr>
                        <pic:blipFill>
                          <a:blip r:embed="rId12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Likelihood profile over R0 for the base-case model: total likelihood (black circles), recruitment (blue triangles), length composition data (light blue crosses), and survey/CPUE indices (yellow x).</w:t>
            </w:r>
          </w:p>
          <w:bookmarkEnd w:id="12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33" w:name="fig-CPUELikelihood"/>
          <w:p>
            <w:pPr>
              <w:pStyle w:val="Figure"/>
              <w:jc w:val="center"/>
            </w:pPr>
            <w:r>
              <w:drawing>
                <wp:inline>
                  <wp:extent cx="5334000" cy="5334000"/>
                  <wp:effectExtent b="0" l="0" r="0" t="0"/>
                  <wp:docPr descr="" title="" id="131" name="Picture"/>
                  <a:graphic>
                    <a:graphicData uri="http://schemas.openxmlformats.org/drawingml/2006/picture">
                      <pic:pic>
                        <pic:nvPicPr>
                          <pic:cNvPr descr="Final%20Base-case/plots/CPUE_Likelihood.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Likelihood profile over R0 by CPUE index for the base-case model.</w:t>
            </w:r>
          </w:p>
          <w:bookmarkEnd w:id="13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37" w:name="fig-SizeLikelihood"/>
          <w:p>
            <w:pPr>
              <w:pStyle w:val="Figure"/>
              <w:jc w:val="center"/>
            </w:pPr>
            <w:r>
              <w:drawing>
                <wp:inline>
                  <wp:extent cx="5334000" cy="5334000"/>
                  <wp:effectExtent b="0" l="0" r="0" t="0"/>
                  <wp:docPr descr="" title="" id="135" name="Picture"/>
                  <a:graphic>
                    <a:graphicData uri="http://schemas.openxmlformats.org/drawingml/2006/picture">
                      <pic:pic>
                        <pic:nvPicPr>
                          <pic:cNvPr descr="Final%20Base-case/plots/Size_Likelihood.png" id="136" name="Picture"/>
                          <pic:cNvPicPr>
                            <a:picLocks noChangeArrowheads="1" noChangeAspect="1"/>
                          </pic:cNvPicPr>
                        </pic:nvPicPr>
                        <pic:blipFill>
                          <a:blip r:embed="rId1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Likelihood profile over R0 for each length composition time series for the base-case model.</w:t>
            </w:r>
          </w:p>
          <w:bookmarkEnd w:id="13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41" w:name="fig-ExpCPUE"/>
          <w:p>
            <w:pPr>
              <w:pStyle w:val="Figure"/>
              <w:jc w:val="center"/>
            </w:pPr>
            <w:r>
              <w:drawing>
                <wp:inline>
                  <wp:extent cx="5334000" cy="7385538"/>
                  <wp:effectExtent b="0" l="0" r="0" t="0"/>
                  <wp:docPr descr="" title="" id="139" name="Picture"/>
                  <a:graphic>
                    <a:graphicData uri="http://schemas.openxmlformats.org/drawingml/2006/picture">
                      <pic:pic>
                        <pic:nvPicPr>
                          <pic:cNvPr descr="BILLWG_SAR_files/figure-docx/fig-ExpCPUE-1.png" id="140" name="Picture"/>
                          <pic:cNvPicPr>
                            <a:picLocks noChangeArrowheads="1" noChangeAspect="1"/>
                          </pic:cNvPicPr>
                        </pic:nvPicPr>
                        <pic:blipFill>
                          <a:blip r:embed="rId138"/>
                          <a:stretch>
                            <a:fillRect/>
                          </a:stretch>
                        </pic:blipFill>
                        <pic:spPr bwMode="auto">
                          <a:xfrm>
                            <a:off x="0" y="0"/>
                            <a:ext cx="5334000" cy="73855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bookmarkEnd w:id="14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63" w:name="fig-SizeCompFits"/>
          <w:p>
            <w:pPr>
              <w:jc w:val="center"/>
            </w:pPr>
            <w:r>
              <w:drawing>
                <wp:inline>
                  <wp:extent cx="5334000" cy="5334000"/>
                  <wp:effectExtent b="0" l="0" r="0" t="0"/>
                  <wp:docPr descr="" title="" id="143" name="Picture"/>
                  <a:graphic>
                    <a:graphicData uri="http://schemas.openxmlformats.org/drawingml/2006/picture">
                      <pic:pic>
                        <pic:nvPicPr>
                          <pic:cNvPr descr="Final%20Base-case/plots/comp_lenfit_data_weighting_TA1.8_F1_JPN_WCNPO_OSDWCOLL_late_Area1.png" id="144"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46" name="Picture"/>
                  <a:graphic>
                    <a:graphicData uri="http://schemas.openxmlformats.org/drawingml/2006/picture">
                      <pic:pic>
                        <pic:nvPicPr>
                          <pic:cNvPr descr="Final%20Base-case/plots/comp_lenfit_data_weighting_TA1.8_F2_TWN_WCNPO_DWLL_late.png" id="147" name="Picture"/>
                          <pic:cNvPicPr>
                            <a:picLocks noChangeArrowheads="1" noChangeAspect="1"/>
                          </pic:cNvPicPr>
                        </pic:nvPicPr>
                        <pic:blipFill>
                          <a:blip r:embed="rId14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49" name="Picture"/>
                  <a:graphic>
                    <a:graphicData uri="http://schemas.openxmlformats.org/drawingml/2006/picture">
                      <pic:pic>
                        <pic:nvPicPr>
                          <pic:cNvPr descr="Final%20Base-case/plots/comp_lenfit_data_weighting_TA1.8_F3_US_WCNPO_LL_shallow_late.png" id="150" name="Picture"/>
                          <pic:cNvPicPr>
                            <a:picLocks noChangeArrowheads="1" noChangeAspect="1"/>
                          </pic:cNvPicPr>
                        </pic:nvPicPr>
                        <pic:blipFill>
                          <a:blip r:embed="rId14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52" name="Picture"/>
                  <a:graphic>
                    <a:graphicData uri="http://schemas.openxmlformats.org/drawingml/2006/picture">
                      <pic:pic>
                        <pic:nvPicPr>
                          <pic:cNvPr descr="Final%20Base-case/plots/comp_lenfit_data_weighting_TA1.8_F4_IATTC.png" id="153" name="Picture"/>
                          <pic:cNvPicPr>
                            <a:picLocks noChangeArrowheads="1" noChangeAspect="1"/>
                          </pic:cNvPicPr>
                        </pic:nvPicPr>
                        <pic:blipFill>
                          <a:blip r:embed="rId15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55" name="Picture"/>
                  <a:graphic>
                    <a:graphicData uri="http://schemas.openxmlformats.org/drawingml/2006/picture">
                      <pic:pic>
                        <pic:nvPicPr>
                          <pic:cNvPr descr="Final%20Base-case/plots/comp_lenfit_data_weighting_TA1.8_F6_JPN_WCNPO_OSDWLL_early_Area1.png" id="156" name="Picture"/>
                          <pic:cNvPicPr>
                            <a:picLocks noChangeArrowheads="1" noChangeAspect="1"/>
                          </pic:cNvPicPr>
                        </pic:nvPicPr>
                        <pic:blipFill>
                          <a:blip r:embed="rId15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58" name="Picture"/>
                  <a:graphic>
                    <a:graphicData uri="http://schemas.openxmlformats.org/drawingml/2006/picture">
                      <pic:pic>
                        <pic:nvPicPr>
                          <pic:cNvPr descr="Final%20Base-case/plots/comp_lenfit_data_weighting_TA1.8_F7_JPN_WCNPO_CODF.pn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61" name="Picture"/>
                  <a:graphic>
                    <a:graphicData uri="http://schemas.openxmlformats.org/drawingml/2006/picture">
                      <pic:pic>
                        <pic:nvPicPr>
                          <pic:cNvPr descr="Final%20Base-case/plots/comp_lenfit_data_weighting_TA1.8_F8_US_WCNPO_LL_shallow_early.png" id="162" name="Picture"/>
                          <pic:cNvPicPr>
                            <a:picLocks noChangeArrowheads="1" noChangeAspect="1"/>
                          </pic:cNvPicPr>
                        </pic:nvPicPr>
                        <pic:blipFill>
                          <a:blip r:embed="rId16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Fits to the annual mean length length composition data. The blue line indicates the estimated mean length, open dots indicate input mean length with black bars indicating the distribution of the length data with the added variance.</w:t>
            </w:r>
          </w:p>
          <w:bookmarkEnd w:id="16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85" w:name="fig-SizeCompResid"/>
          <w:p>
            <w:pPr>
              <w:jc w:val="center"/>
            </w:pPr>
            <w:r>
              <w:drawing>
                <wp:inline>
                  <wp:extent cx="5334000" cy="5334000"/>
                  <wp:effectExtent b="0" l="0" r="0" t="0"/>
                  <wp:docPr descr="" title="" id="165" name="Picture"/>
                  <a:graphic>
                    <a:graphicData uri="http://schemas.openxmlformats.org/drawingml/2006/picture">
                      <pic:pic>
                        <pic:nvPicPr>
                          <pic:cNvPr descr="Final%20Base-case/plots/comp_lenfit_residsflt1mkt0_page5.png" id="166" name="Picture"/>
                          <pic:cNvPicPr>
                            <a:picLocks noChangeArrowheads="1" noChangeAspect="1"/>
                          </pic:cNvPicPr>
                        </pic:nvPicPr>
                        <pic:blipFill>
                          <a:blip r:embed="rId16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68" name="Picture"/>
                  <a:graphic>
                    <a:graphicData uri="http://schemas.openxmlformats.org/drawingml/2006/picture">
                      <pic:pic>
                        <pic:nvPicPr>
                          <pic:cNvPr descr="Final%20Base-case/plots/comp_lenfit_residsflt2mkt0_page3.pn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71" name="Picture"/>
                  <a:graphic>
                    <a:graphicData uri="http://schemas.openxmlformats.org/drawingml/2006/picture">
                      <pic:pic>
                        <pic:nvPicPr>
                          <pic:cNvPr descr="Final%20Base-case/plots/comp_lenfit_residsflt3mkt0_page3.png" id="172" name="Picture"/>
                          <pic:cNvPicPr>
                            <a:picLocks noChangeArrowheads="1" noChangeAspect="1"/>
                          </pic:cNvPicPr>
                        </pic:nvPicPr>
                        <pic:blipFill>
                          <a:blip r:embed="rId17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74" name="Picture"/>
                  <a:graphic>
                    <a:graphicData uri="http://schemas.openxmlformats.org/drawingml/2006/picture">
                      <pic:pic>
                        <pic:nvPicPr>
                          <pic:cNvPr descr="Final%20Base-case/plots/comp_lenfit_residsflt4mkt0_page2.png" id="175" name="Picture"/>
                          <pic:cNvPicPr>
                            <a:picLocks noChangeArrowheads="1" noChangeAspect="1"/>
                          </pic:cNvPicPr>
                        </pic:nvPicPr>
                        <pic:blipFill>
                          <a:blip r:embed="rId17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77" name="Picture"/>
                  <a:graphic>
                    <a:graphicData uri="http://schemas.openxmlformats.org/drawingml/2006/picture">
                      <pic:pic>
                        <pic:nvPicPr>
                          <pic:cNvPr descr="Final%20Base-case/plots/comp_lenfit_residsflt6mkt0.png" id="178" name="Picture"/>
                          <pic:cNvPicPr>
                            <a:picLocks noChangeArrowheads="1" noChangeAspect="1"/>
                          </pic:cNvPicPr>
                        </pic:nvPicPr>
                        <pic:blipFill>
                          <a:blip r:embed="rId17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80" name="Picture"/>
                  <a:graphic>
                    <a:graphicData uri="http://schemas.openxmlformats.org/drawingml/2006/picture">
                      <pic:pic>
                        <pic:nvPicPr>
                          <pic:cNvPr descr="Final%20Base-case/plots/comp_lenfit_residsflt7mkt0_page2.png" id="181"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83" name="Picture"/>
                  <a:graphic>
                    <a:graphicData uri="http://schemas.openxmlformats.org/drawingml/2006/picture">
                      <pic:pic>
                        <pic:nvPicPr>
                          <pic:cNvPr descr="Final%20Base-case/plots/comp_lenfit_residsflt8mkt0.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Quarterly residual plots the length composition data by fleet. Open circles indicate negative residuals and closed circles indicate positive residuals.</w:t>
            </w:r>
          </w:p>
          <w:bookmarkEnd w:id="18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89" w:name="fig-CPUERunstest"/>
          <w:p>
            <w:pPr>
              <w:pStyle w:val="Figure"/>
              <w:jc w:val="center"/>
            </w:pPr>
            <w:r>
              <w:drawing>
                <wp:inline>
                  <wp:extent cx="5334000" cy="5334000"/>
                  <wp:effectExtent b="0" l="0" r="0" t="0"/>
                  <wp:docPr descr="" title="" id="187" name="Picture"/>
                  <a:graphic>
                    <a:graphicData uri="http://schemas.openxmlformats.org/drawingml/2006/picture">
                      <pic:pic>
                        <pic:nvPicPr>
                          <pic:cNvPr descr="BILLWG_SAR_files/figure-docx/fig-CPUERunstest-1.png" id="188" name="Picture"/>
                          <pic:cNvPicPr>
                            <a:picLocks noChangeArrowheads="1" noChangeAspect="1"/>
                          </pic:cNvPicPr>
                        </pic:nvPicPr>
                        <pic:blipFill>
                          <a:blip r:embed="rId18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Results from a runs test for each CPUE index. Red indicates the index failed the test (residuals are not random), green indicates the index passed the test.</w:t>
            </w:r>
          </w:p>
          <w:bookmarkEnd w:id="18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3" w:name="fig-SizeRunsTest"/>
          <w:p>
            <w:pPr>
              <w:pStyle w:val="Figure"/>
              <w:jc w:val="center"/>
            </w:pPr>
            <w:r>
              <w:drawing>
                <wp:inline>
                  <wp:extent cx="5334000" cy="5334000"/>
                  <wp:effectExtent b="0" l="0" r="0" t="0"/>
                  <wp:docPr descr="" title="" id="191" name="Picture"/>
                  <a:graphic>
                    <a:graphicData uri="http://schemas.openxmlformats.org/drawingml/2006/picture">
                      <pic:pic>
                        <pic:nvPicPr>
                          <pic:cNvPr descr="BILLWG_SAR_files/figure-docx/fig-SizeRunsTest-1.png" id="192" name="Picture"/>
                          <pic:cNvPicPr>
                            <a:picLocks noChangeArrowheads="1" noChangeAspect="1"/>
                          </pic:cNvPicPr>
                        </pic:nvPicPr>
                        <pic:blipFill>
                          <a:blip r:embed="rId19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Results from a runs test for each size composition time series. Red indicates the time series failed the test (residuals are not random), green indicates the time series passed the test.</w:t>
            </w:r>
          </w:p>
          <w:bookmarkEnd w:id="19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7" w:name="fig-retros"/>
          <w:p>
            <w:pPr>
              <w:pStyle w:val="Figure"/>
              <w:jc w:val="center"/>
            </w:pPr>
            <w:r>
              <w:drawing>
                <wp:inline>
                  <wp:extent cx="5334000" cy="5334000"/>
                  <wp:effectExtent b="0" l="0" r="0" t="0"/>
                  <wp:docPr descr="" title="" id="195" name="Picture"/>
                  <a:graphic>
                    <a:graphicData uri="http://schemas.openxmlformats.org/drawingml/2006/picture">
                      <pic:pic>
                        <pic:nvPicPr>
                          <pic:cNvPr descr="BILLWG_SAR_files/figure-docx/fig-retros-1.png" id="196"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Retrospective analysis of spawning biomass (left) and fishing mortality (right) for the whole time series (top) and the last 20 years (bottom) consisting of 5 reruns of the base case model each fitted with one more year of data removed from the base case model (blue line).</w:t>
            </w:r>
          </w:p>
          <w:bookmarkEnd w:id="19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01" w:name="fig-CPUEHCxval"/>
          <w:p>
            <w:pPr>
              <w:pStyle w:val="Figure"/>
              <w:jc w:val="center"/>
            </w:pPr>
            <w:r>
              <w:drawing>
                <wp:inline>
                  <wp:extent cx="5334000" cy="4267200"/>
                  <wp:effectExtent b="0" l="0" r="0" t="0"/>
                  <wp:docPr descr="" title="" id="199" name="Picture"/>
                  <a:graphic>
                    <a:graphicData uri="http://schemas.openxmlformats.org/drawingml/2006/picture">
                      <pic:pic>
                        <pic:nvPicPr>
                          <pic:cNvPr descr="BILLWG_SAR_files/figure-docx/fig-CPUEHCxval-1.png" id="20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bookmarkEnd w:id="201"/>
        </w:tc>
      </w:tr>
    </w:tbl>
    <w:p>
      <w:pPr>
        <w:pStyle w:val="BodyText"/>
      </w:pPr>
      <w:r>
        <w:t xml:space="preserve"> </w:t>
      </w:r>
    </w:p>
    <w:p>
      <w:pPr>
        <w:pStyle w:val="SourceCode"/>
      </w:pP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p>
    <w:tbl>
      <w:tblPr>
        <w:tblStyle w:val="Table"/>
        <w:tblW w:type="pct" w:w="5000"/>
        <w:tblLook w:firstRow="0" w:lastRow="0" w:firstColumn="0" w:lastColumn="0" w:noHBand="0" w:noVBand="0" w:val="0000"/>
      </w:tblPr>
      <w:tblGrid>
        <w:gridCol w:w="7920"/>
      </w:tblGrid>
      <w:tr>
        <w:tc>
          <w:tcPr/>
          <w:bookmarkStart w:id="205" w:name="fig-LenHCxval"/>
          <w:p>
            <w:pPr>
              <w:pStyle w:val="Figure"/>
              <w:jc w:val="center"/>
            </w:pPr>
            <w:r>
              <w:drawing>
                <wp:inline>
                  <wp:extent cx="5334000" cy="4267200"/>
                  <wp:effectExtent b="0" l="0" r="0" t="0"/>
                  <wp:docPr descr="" title="" id="203" name="Picture"/>
                  <a:graphic>
                    <a:graphicData uri="http://schemas.openxmlformats.org/drawingml/2006/picture">
                      <pic:pic>
                        <pic:nvPicPr>
                          <pic:cNvPr descr="BILLWG_SAR_files/figure-docx/fig-LenHCxval-1.png" id="204"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bookmarkEnd w:id="205"/>
        </w:tc>
      </w:tr>
    </w:tbl>
    <w:tbl>
      <w:tblPr>
        <w:tblStyle w:val="Table"/>
        <w:tblW w:type="pct" w:w="5000"/>
        <w:tblLook w:firstRow="0" w:lastRow="0" w:firstColumn="0" w:lastColumn="0" w:noHBand="0" w:noVBand="0" w:val="0000"/>
      </w:tblPr>
      <w:tblGrid>
        <w:gridCol w:w="7920"/>
      </w:tblGrid>
      <w:tr>
        <w:tc>
          <w:tcPr/>
          <w:bookmarkStart w:id="209" w:name="fig-ASPM"/>
          <w:p>
            <w:pPr>
              <w:pStyle w:val="Figure"/>
              <w:jc w:val="center"/>
            </w:pPr>
            <w:r>
              <w:drawing>
                <wp:inline>
                  <wp:extent cx="5334000" cy="3555999"/>
                  <wp:effectExtent b="0" l="0" r="0" t="0"/>
                  <wp:docPr descr="" title="" id="207" name="Picture"/>
                  <a:graphic>
                    <a:graphicData uri="http://schemas.openxmlformats.org/drawingml/2006/picture">
                      <pic:pic>
                        <pic:nvPicPr>
                          <pic:cNvPr descr="Final%20Base-case/plots/ASPMFig.png" id="208" name="Picture"/>
                          <pic:cNvPicPr>
                            <a:picLocks noChangeArrowheads="1" noChangeAspect="1"/>
                          </pic:cNvPicPr>
                        </pic:nvPicPr>
                        <pic:blipFill>
                          <a:blip r:embed="rId206"/>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Spawning stock biomass trend for the ASPM model run (dashed line, triangles) and the base-case model (solid line, circles). Grey shading indicates 95% confidence intervals for each model.</w:t>
            </w:r>
          </w:p>
          <w:bookmarkEnd w:id="209"/>
        </w:tc>
      </w:tr>
    </w:tbl>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213" w:name="fig-summarybiomass2-1"/>
                <w:p>
                  <w:pPr>
                    <w:pStyle w:val="Figure"/>
                    <w:jc w:val="center"/>
                    <w:jc w:val="center"/>
                  </w:pPr>
                  <w:r>
                    <w:drawing>
                      <wp:inline>
                        <wp:extent cx="2971800" cy="2377440"/>
                        <wp:effectExtent b="0" l="0" r="0" t="0"/>
                        <wp:docPr descr="" title="" id="211" name="Picture"/>
                        <a:graphic>
                          <a:graphicData uri="http://schemas.openxmlformats.org/drawingml/2006/picture">
                            <pic:pic>
                              <pic:nvPicPr>
                                <pic:cNvPr descr="BILLWG_SAR_files/figure-docx/fig-summarybiomass2-1.png" id="212" name="Picture"/>
                                <pic:cNvPicPr>
                                  <a:picLocks noChangeArrowheads="1" noChangeAspect="1"/>
                                </pic:cNvPicPr>
                              </pic:nvPicPr>
                              <pic:blipFill>
                                <a:blip r:embed="rId21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w:t>
                  </w:r>
                </w:p>
                <w:bookmarkEnd w:id="213"/>
              </w:tc>
            </w:tr>
          </w:tbl>
          <w:p/>
        </w:tc>
        <w:tc>
          <w:tcPr/>
          <w:tbl>
            <w:tblPr>
              <w:tblStyle w:val="Table"/>
              <w:tblW w:type="pct" w:w="5000"/>
              <w:tblLook w:firstRow="0" w:lastRow="0" w:firstColumn="0" w:lastColumn="0" w:noHBand="0" w:noVBand="0" w:val="0000"/>
            </w:tblPr>
            <w:tblGrid>
              <w:gridCol w:w="7920"/>
            </w:tblGrid>
            <w:tr>
              <w:tc>
                <w:tcPr/>
                <w:bookmarkStart w:id="217" w:name="fig-summarybiomass2-2"/>
                <w:p>
                  <w:pPr>
                    <w:pStyle w:val="Figure"/>
                    <w:jc w:val="center"/>
                    <w:jc w:val="center"/>
                  </w:pPr>
                  <w:r>
                    <w:drawing>
                      <wp:inline>
                        <wp:extent cx="2971800" cy="2377440"/>
                        <wp:effectExtent b="0" l="0" r="0" t="0"/>
                        <wp:docPr descr="" title="" id="215" name="Picture"/>
                        <a:graphic>
                          <a:graphicData uri="http://schemas.openxmlformats.org/drawingml/2006/picture">
                            <pic:pic>
                              <pic:nvPicPr>
                                <pic:cNvPr descr="BILLWG_SAR_files/figure-docx/fig-summarybiomass2-2.png" id="216" name="Picture"/>
                                <pic:cNvPicPr>
                                  <a:picLocks noChangeArrowheads="1" noChangeAspect="1"/>
                                </pic:cNvPicPr>
                              </pic:nvPicPr>
                              <pic:blipFill>
                                <a:blip r:embed="rId21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w:t>
                  </w:r>
                </w:p>
                <w:bookmarkEnd w:id="217"/>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221" w:name="fig-summarybiomass2-3"/>
                <w:p>
                  <w:pPr>
                    <w:pStyle w:val="Figure"/>
                    <w:jc w:val="center"/>
                    <w:jc w:val="center"/>
                  </w:pPr>
                  <w:r>
                    <w:drawing>
                      <wp:inline>
                        <wp:extent cx="2971800" cy="2377440"/>
                        <wp:effectExtent b="0" l="0" r="0" t="0"/>
                        <wp:docPr descr="" title="" id="219" name="Picture"/>
                        <a:graphic>
                          <a:graphicData uri="http://schemas.openxmlformats.org/drawingml/2006/picture">
                            <pic:pic>
                              <pic:nvPicPr>
                                <pic:cNvPr descr="BILLWG_SAR_files/figure-docx/fig-summarybiomass2-3.png" id="220" name="Picture"/>
                                <pic:cNvPicPr>
                                  <a:picLocks noChangeArrowheads="1" noChangeAspect="1"/>
                                </pic:cNvPicPr>
                              </pic:nvPicPr>
                              <pic:blipFill>
                                <a:blip r:embed="rId21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w:t>
                  </w:r>
                </w:p>
                <w:bookmarkEnd w:id="221"/>
              </w:tc>
            </w:tr>
          </w:tbl>
          <w:p/>
        </w:tc>
        <w:tc>
          <w:tcPr/>
          <w:tbl>
            <w:tblPr>
              <w:tblStyle w:val="Table"/>
              <w:tblW w:type="pct" w:w="5000"/>
              <w:tblLook w:firstRow="0" w:lastRow="0" w:firstColumn="0" w:lastColumn="0" w:noHBand="0" w:noVBand="0" w:val="0000"/>
            </w:tblPr>
            <w:tblGrid>
              <w:gridCol w:w="7920"/>
            </w:tblGrid>
            <w:tr>
              <w:tc>
                <w:tcPr/>
                <w:bookmarkStart w:id="225" w:name="fig-summarybiomass2-4"/>
                <w:p>
                  <w:pPr>
                    <w:pStyle w:val="Figure"/>
                    <w:jc w:val="center"/>
                    <w:jc w:val="center"/>
                  </w:pPr>
                  <w:r>
                    <w:drawing>
                      <wp:inline>
                        <wp:extent cx="2971800" cy="2377440"/>
                        <wp:effectExtent b="0" l="0" r="0" t="0"/>
                        <wp:docPr descr="" title="" id="223" name="Picture"/>
                        <a:graphic>
                          <a:graphicData uri="http://schemas.openxmlformats.org/drawingml/2006/picture">
                            <pic:pic>
                              <pic:nvPicPr>
                                <pic:cNvPr descr="BILLWG_SAR_files/figure-docx/fig-summarybiomass2-4.png" id="224" name="Picture"/>
                                <pic:cNvPicPr>
                                  <a:picLocks noChangeArrowheads="1" noChangeAspect="1"/>
                                </pic:cNvPicPr>
                              </pic:nvPicPr>
                              <pic:blipFill>
                                <a:blip r:embed="rId22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w:t>
                  </w:r>
                </w:p>
                <w:bookmarkEnd w:id="225"/>
              </w:tc>
            </w:tr>
          </w:tbl>
          <w:p/>
        </w:tc>
      </w:tr>
    </w:tbl>
    <w:p>
      <w:pPr>
        <w:pStyle w:val="BodyText"/>
      </w:pPr>
      <w:pPr>
        <w:spacing w:before="200"/>
        <w:pStyle w:val="ImageCaption"/>
      </w:pPr>
      <w:r>
        <w:t xml:space="preserve">Figure 23: Time series of estimates of (a) population biomass (age 1+), (b) spawning biomass, (c) instantaneous fishing mortality (average for age 1-10, year</w:t>
      </w:r>
      <w:r>
        <w:rPr>
          <w:vertAlign w:val="superscript"/>
        </w:rPr>
        <w:t xml:space="preserve">-1</w:t>
      </w:r>
      <w:r>
        <w:t xml:space="preserve">), and (d) recruitment (age-0 fish) for North Pacific swordfish (</w:t>
      </w:r>
      <w:r>
        <w:rPr>
          <w:iCs/>
          <w:i/>
        </w:rPr>
        <w:t xml:space="preserve">Xiphias gladius</w:t>
      </w:r>
      <w:r>
        <w:t xml:space="preserve">)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 xml:space="preserve">MSY</w:t>
      </w:r>
      <w:r>
        <w:t xml:space="preserve"> </w:t>
      </w:r>
      <w:r>
        <w:t xml:space="preserve">and F</w:t>
      </w:r>
      <w:r>
        <w:rPr>
          <w:vertAlign w:val="subscript"/>
        </w:rPr>
        <w:t xml:space="preserve">MSY</w:t>
      </w:r>
      <w:r>
        <w:t xml:space="preserve"> </w:t>
      </w:r>
      <w:r>
        <w:t xml:space="preserve">reference points.</w:t>
      </w:r>
    </w:p>
    <w:p>
      <w:pPr>
        <w:pStyle w:val="BodyText"/>
      </w:pPr>
      <w:r>
        <w:t xml:space="preserve"> </w:t>
      </w:r>
    </w:p>
    <w:p>
      <w:pPr>
        <w:pStyle w:val="SourceCode"/>
      </w:pPr>
      <w:r>
        <w:rPr>
          <w:rStyle w:val="VerbatimChar"/>
        </w:rPr>
        <w:t xml:space="preserve">  Quadrant Percent</w:t>
      </w:r>
      <w:r>
        <w:br/>
      </w:r>
      <w:r>
        <w:rPr>
          <w:rStyle w:val="VerbatimChar"/>
        </w:rPr>
        <w:t xml:space="preserve">1      Red       0</w:t>
      </w:r>
      <w:r>
        <w:br/>
      </w:r>
      <w:r>
        <w:rPr>
          <w:rStyle w:val="VerbatimChar"/>
        </w:rPr>
        <w:t xml:space="preserve">2   Orange       0</w:t>
      </w:r>
      <w:r>
        <w:br/>
      </w:r>
      <w:r>
        <w:rPr>
          <w:rStyle w:val="VerbatimChar"/>
        </w:rPr>
        <w:t xml:space="preserve">3   Yellow       0</w:t>
      </w:r>
      <w:r>
        <w:br/>
      </w:r>
      <w:r>
        <w:rPr>
          <w:rStyle w:val="VerbatimChar"/>
        </w:rPr>
        <w:t xml:space="preserve">4    Green     100</w:t>
      </w:r>
    </w:p>
    <w:tbl>
      <w:tblPr>
        <w:tblStyle w:val="Table"/>
        <w:tblW w:type="pct" w:w="5000"/>
        <w:tblLook w:firstRow="0" w:lastRow="0" w:firstColumn="0" w:lastColumn="0" w:noHBand="0" w:noVBand="0" w:val="0000"/>
      </w:tblPr>
      <w:tblGrid>
        <w:gridCol w:w="7920"/>
      </w:tblGrid>
      <w:tr>
        <w:tc>
          <w:tcPr/>
          <w:bookmarkStart w:id="229" w:name="fig-Kobe2"/>
          <w:p>
            <w:pPr>
              <w:pStyle w:val="Figure"/>
              <w:jc w:val="center"/>
            </w:pPr>
            <w:r>
              <w:drawing>
                <wp:inline>
                  <wp:extent cx="5334000" cy="5334000"/>
                  <wp:effectExtent b="0" l="0" r="0" t="0"/>
                  <wp:docPr descr="" title="" id="227" name="Picture"/>
                  <a:graphic>
                    <a:graphicData uri="http://schemas.openxmlformats.org/drawingml/2006/picture">
                      <pic:pic>
                        <pic:nvPicPr>
                          <pic:cNvPr descr="BILLWG_SAR_files/figure-docx/fig-Kobe2-1.png" id="228" name="Picture"/>
                          <pic:cNvPicPr>
                            <a:picLocks noChangeArrowheads="1" noChangeAspect="1"/>
                          </pic:cNvPicPr>
                        </pic:nvPicPr>
                        <pic:blipFill>
                          <a:blip r:embed="rId22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Kobe plot of the time series of estimates of relative fishing mortality (average of age 1-10) and relative spawning stock biomass of North Pacific swordish (</w:t>
            </w:r>
            <w:r>
              <w:rPr>
                <w:iCs/>
                <w:i/>
              </w:rPr>
              <w:t xml:space="preserve">Xiphias gladius</w:t>
            </w:r>
            <w:r>
              <w:t xml:space="preserve">) during 1977-2020. The first white dot indicates 1975, subsequent dots are in 5-year increments. Shading indicates 50%, 80%, and 95% confidence intervals, respectively.</w:t>
            </w:r>
          </w:p>
          <w:bookmarkEnd w:id="229"/>
        </w:tc>
      </w:tr>
    </w:tbl>
    <w:tbl>
      <w:tblPr>
        <w:tblStyle w:val="Table"/>
        <w:tblW w:type="pct" w:w="5000"/>
        <w:tblLook w:firstRow="0" w:lastRow="0" w:firstColumn="0" w:lastColumn="0" w:noHBand="0" w:noVBand="0" w:val="0000"/>
      </w:tblPr>
      <w:tblGrid>
        <w:gridCol w:w="7920"/>
      </w:tblGrid>
      <w:tr>
        <w:tc>
          <w:tcPr/>
          <w:p>
            <w:pPr>
              <w:jc w:val="center"/>
            </w:pPr>
            <w:r>
              <w:drawing>
                <wp:inline>
                  <wp:extent cx="5334000" cy="4103076"/>
                  <wp:effectExtent b="0" l="0" r="0" t="0"/>
                  <wp:docPr descr="a" title="" id="231" name="Picture"/>
                  <a:graphic>
                    <a:graphicData uri="http://schemas.openxmlformats.org/drawingml/2006/picture">
                      <pic:pic>
                        <pic:nvPicPr>
                          <pic:cNvPr descr="Final%20Base-case/plots/SensNatM_compare1_spawnbio.png" id="232" name="Picture"/>
                          <pic:cNvPicPr>
                            <a:picLocks noChangeArrowheads="1" noChangeAspect="1"/>
                          </pic:cNvPicPr>
                        </pic:nvPicPr>
                        <pic:blipFill>
                          <a:blip r:embed="rId230"/>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b" title="" id="234" name="Picture"/>
                  <a:graphic>
                    <a:graphicData uri="http://schemas.openxmlformats.org/drawingml/2006/picture">
                      <pic:pic>
                        <pic:nvPicPr>
                          <pic:cNvPr descr="Final%20Base-case/plots/SensNatM_compare7_Fvalue.png" id="235" name="Picture"/>
                          <pic:cNvPicPr>
                            <a:picLocks noChangeArrowheads="1" noChangeAspect="1"/>
                          </pic:cNvPicPr>
                        </pic:nvPicPr>
                        <pic:blipFill>
                          <a:blip r:embed="rId233"/>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c" title="" id="237" name="Picture"/>
                  <a:graphic>
                    <a:graphicData uri="http://schemas.openxmlformats.org/drawingml/2006/picture">
                      <pic:pic>
                        <pic:nvPicPr>
                          <pic:cNvPr descr="Final%20Base-case/plots/SensSteep_compare1_spawnbio.png" id="238" name="Picture"/>
                          <pic:cNvPicPr>
                            <a:picLocks noChangeArrowheads="1" noChangeAspect="1"/>
                          </pic:cNvPicPr>
                        </pic:nvPicPr>
                        <pic:blipFill>
                          <a:blip r:embed="rId236"/>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d" title="" id="240" name="Picture"/>
                  <a:graphic>
                    <a:graphicData uri="http://schemas.openxmlformats.org/drawingml/2006/picture">
                      <pic:pic>
                        <pic:nvPicPr>
                          <pic:cNvPr descr="Final%20Base-case/plots/SensSteep_compare7_Fvalue.png" id="241" name="Picture"/>
                          <pic:cNvPicPr>
                            <a:picLocks noChangeArrowheads="1" noChangeAspect="1"/>
                          </pic:cNvPicPr>
                        </pic:nvPicPr>
                        <pic:blipFill>
                          <a:blip r:embed="rId239"/>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e" title="" id="243" name="Picture"/>
                  <a:graphic>
                    <a:graphicData uri="http://schemas.openxmlformats.org/drawingml/2006/picture">
                      <pic:pic>
                        <pic:nvPicPr>
                          <pic:cNvPr descr="Final%20Base-case/plots/SensGrowth_compare1_spawnbio.png" id="244" name="Picture"/>
                          <pic:cNvPicPr>
                            <a:picLocks noChangeArrowheads="1" noChangeAspect="1"/>
                          </pic:cNvPicPr>
                        </pic:nvPicPr>
                        <pic:blipFill>
                          <a:blip r:embed="rId242"/>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f" title="" id="246" name="Picture"/>
                  <a:graphic>
                    <a:graphicData uri="http://schemas.openxmlformats.org/drawingml/2006/picture">
                      <pic:pic>
                        <pic:nvPicPr>
                          <pic:cNvPr descr="Final%20Base-case/plots/SensGrowth_compare7_Fvalue.png" id="247" name="Picture"/>
                          <pic:cNvPicPr>
                            <a:picLocks noChangeArrowheads="1" noChangeAspect="1"/>
                          </pic:cNvPicPr>
                        </pic:nvPicPr>
                        <pic:blipFill>
                          <a:blip r:embed="rId245"/>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g" title="" id="249" name="Picture"/>
                  <a:graphic>
                    <a:graphicData uri="http://schemas.openxmlformats.org/drawingml/2006/picture">
                      <pic:pic>
                        <pic:nvPicPr>
                          <pic:cNvPr descr="Final%20Base-case/plots/SensMat_compare1_spawnbio.png" id="250" name="Picture"/>
                          <pic:cNvPicPr>
                            <a:picLocks noChangeArrowheads="1" noChangeAspect="1"/>
                          </pic:cNvPicPr>
                        </pic:nvPicPr>
                        <pic:blipFill>
                          <a:blip r:embed="rId248"/>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h" title="" id="252" name="Picture"/>
                  <a:graphic>
                    <a:graphicData uri="http://schemas.openxmlformats.org/drawingml/2006/picture">
                      <pic:pic>
                        <pic:nvPicPr>
                          <pic:cNvPr descr="Final%20Base-case/plots/SensMat_compare7_Fvalue.png" id="253" name="Picture"/>
                          <pic:cNvPicPr>
                            <a:picLocks noChangeArrowheads="1" noChangeAspect="1"/>
                          </pic:cNvPicPr>
                        </pic:nvPicPr>
                        <pic:blipFill>
                          <a:blip r:embed="rId251"/>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i" title="" id="255" name="Picture"/>
                  <a:graphic>
                    <a:graphicData uri="http://schemas.openxmlformats.org/drawingml/2006/picture">
                      <pic:pic>
                        <pic:nvPicPr>
                          <pic:cNvPr descr="Final%20Base-case/plots/SensCatch_compare1_spawnbio.png" id="256" name="Picture"/>
                          <pic:cNvPicPr>
                            <a:picLocks noChangeArrowheads="1" noChangeAspect="1"/>
                          </pic:cNvPicPr>
                        </pic:nvPicPr>
                        <pic:blipFill>
                          <a:blip r:embed="rId254"/>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j" title="" id="258" name="Picture"/>
                  <a:graphic>
                    <a:graphicData uri="http://schemas.openxmlformats.org/drawingml/2006/picture">
                      <pic:pic>
                        <pic:nvPicPr>
                          <pic:cNvPr descr="Final%20Base-case/plots/SensCatch_compare7_Fvalue.png" id="259" name="Picture"/>
                          <pic:cNvPicPr>
                            <a:picLocks noChangeArrowheads="1" noChangeAspect="1"/>
                          </pic:cNvPicPr>
                        </pic:nvPicPr>
                        <pic:blipFill>
                          <a:blip r:embed="rId257"/>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k" title="" id="261" name="Picture"/>
                  <a:graphic>
                    <a:graphicData uri="http://schemas.openxmlformats.org/drawingml/2006/picture">
                      <pic:pic>
                        <pic:nvPicPr>
                          <pic:cNvPr descr="Final%20Base-case/plots/SensModel_compare1_spawnbio.png" id="262" name="Picture"/>
                          <pic:cNvPicPr>
                            <a:picLocks noChangeArrowheads="1" noChangeAspect="1"/>
                          </pic:cNvPicPr>
                        </pic:nvPicPr>
                        <pic:blipFill>
                          <a:blip r:embed="rId260"/>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l" title="" id="264" name="Picture"/>
                  <a:graphic>
                    <a:graphicData uri="http://schemas.openxmlformats.org/drawingml/2006/picture">
                      <pic:pic>
                        <pic:nvPicPr>
                          <pic:cNvPr descr="Final%20Base-case/plots/SensModel_compare7_Fvalue.png" id="265" name="Picture"/>
                          <pic:cNvPicPr>
                            <a:picLocks noChangeArrowheads="1" noChangeAspect="1"/>
                          </pic:cNvPicPr>
                        </pic:nvPicPr>
                        <pic:blipFill>
                          <a:blip r:embed="rId263"/>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m" title="" id="267" name="Picture"/>
                  <a:graphic>
                    <a:graphicData uri="http://schemas.openxmlformats.org/drawingml/2006/picture">
                      <pic:pic>
                        <pic:nvPicPr>
                          <pic:cNvPr descr="Final%20Base-case/plots/SensCPUE_compare1_spawnbio.png" id="268" name="Picture"/>
                          <pic:cNvPicPr>
                            <a:picLocks noChangeArrowheads="1" noChangeAspect="1"/>
                          </pic:cNvPicPr>
                        </pic:nvPicPr>
                        <pic:blipFill>
                          <a:blip r:embed="rId266"/>
                          <a:stretch>
                            <a:fillRect/>
                          </a:stretch>
                        </pic:blipFill>
                        <pic:spPr bwMode="auto">
                          <a:xfrm>
                            <a:off x="0" y="0"/>
                            <a:ext cx="5334000" cy="4103076"/>
                          </a:xfrm>
                          <a:prstGeom prst="rect">
                            <a:avLst/>
                          </a:prstGeom>
                          <a:noFill/>
                          <a:ln w="9525">
                            <a:noFill/>
                            <a:headEnd/>
                            <a:tailEnd/>
                          </a:ln>
                        </pic:spPr>
                      </pic:pic>
                    </a:graphicData>
                  </a:graphic>
                </wp:inline>
              </w:drawing>
            </w:r>
            <w:r>
              <w:t xml:space="preserve"> </w:t>
            </w:r>
            <w:r>
              <w:drawing>
                <wp:inline>
                  <wp:extent cx="5334000" cy="4103076"/>
                  <wp:effectExtent b="0" l="0" r="0" t="0"/>
                  <wp:docPr descr="n" title="" id="270" name="Picture"/>
                  <a:graphic>
                    <a:graphicData uri="http://schemas.openxmlformats.org/drawingml/2006/picture">
                      <pic:pic>
                        <pic:nvPicPr>
                          <pic:cNvPr descr="Final%20Base-case/plots/SensCPUE_compare7_Fvalue.png" id="271" name="Picture"/>
                          <pic:cNvPicPr>
                            <a:picLocks noChangeArrowheads="1" noChangeAspect="1"/>
                          </pic:cNvPicPr>
                        </pic:nvPicPr>
                        <pic:blipFill>
                          <a:blip r:embed="rId269"/>
                          <a:stretch>
                            <a:fillRect/>
                          </a:stretch>
                        </pic:blipFill>
                        <pic:spPr bwMode="auto">
                          <a:xfrm>
                            <a:off x="0" y="0"/>
                            <a:ext cx="5334000" cy="410307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25: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(i-j) Runs 11-13 use alternative catch scenarios; (k-l) runs 14-17 use alternative model assumptions; and (m-n) Runs 18a-f and 19 use alternative CPUE configurations.</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75" w:name="fig-sensitvityKobe"/>
          <w:p>
            <w:pPr>
              <w:pStyle w:val="Figure"/>
              <w:jc w:val="center"/>
            </w:pPr>
            <w:r>
              <w:drawing>
                <wp:inline>
                  <wp:extent cx="5334000" cy="5334000"/>
                  <wp:effectExtent b="0" l="0" r="0" t="0"/>
                  <wp:docPr descr="" title="" id="273" name="Picture"/>
                  <a:graphic>
                    <a:graphicData uri="http://schemas.openxmlformats.org/drawingml/2006/picture">
                      <pic:pic>
                        <pic:nvPicPr>
                          <pic:cNvPr descr="BILLWG_SAR_files/figure-docx/fig-sensitvityKobe-1.png" id="274" name="Picture"/>
                          <pic:cNvPicPr>
                            <a:picLocks noChangeArrowheads="1" noChangeAspect="1"/>
                          </pic:cNvPicPr>
                        </pic:nvPicPr>
                        <pic:blipFill>
                          <a:blip r:embed="rId27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Kobe plot showing the terminal-year stock status for the base case model (grey B) and the sensitivity analyses as indicated by the run numbers. For the list of sensitivity runs, please see Table 12.</w:t>
            </w:r>
          </w:p>
          <w:bookmarkEnd w:id="275"/>
        </w:tc>
      </w:tr>
    </w:tbl>
    <w:p>
      <w:pPr>
        <w:pStyle w:val="BodyText"/>
      </w:pPr>
      <w:r>
        <w:t xml:space="preserve"> </w:t>
      </w:r>
    </w:p>
    <w:p>
      <w:pPr>
        <w:pStyle w:val="SourceCode"/>
      </w:pPr>
      <w:r>
        <w:br/>
      </w:r>
      <w:r>
        <w:rPr>
          <w:rStyle w:val="VerbatimChar"/>
        </w:rPr>
        <w:t xml:space="preserve"> starter.sso with Bratio: SSB/SSB0 and F: _abs_F </w:t>
      </w:r>
      <w:r>
        <w:br/>
      </w:r>
      <w:r>
        <w:rPr>
          <w:rStyle w:val="VerbatimChar"/>
        </w:rPr>
        <w:t xml:space="preserve"> </w:t>
      </w:r>
    </w:p>
    <w:tbl>
      <w:tblPr>
        <w:tblStyle w:val="Table"/>
        <w:tblW w:type="pct" w:w="5000"/>
        <w:tblLook w:firstRow="0" w:lastRow="0" w:firstColumn="0" w:lastColumn="0" w:noHBand="0" w:noVBand="0" w:val="0000"/>
      </w:tblPr>
      <w:tblGrid>
        <w:gridCol w:w="7920"/>
      </w:tblGrid>
      <w:tr>
        <w:tc>
          <w:tcPr/>
          <w:bookmarkStart w:id="279" w:name="fig-projectionssb"/>
          <w:p>
            <w:pPr>
              <w:pStyle w:val="Figure"/>
              <w:jc w:val="center"/>
            </w:pPr>
            <w:r>
              <w:drawing>
                <wp:inline>
                  <wp:extent cx="5334000" cy="4000500"/>
                  <wp:effectExtent b="0" l="0" r="0" t="0"/>
                  <wp:docPr descr="" title="" id="277" name="Picture"/>
                  <a:graphic>
                    <a:graphicData uri="http://schemas.openxmlformats.org/drawingml/2006/picture">
                      <pic:pic>
                        <pic:nvPicPr>
                          <pic:cNvPr descr="BILLWG_SAR_files/figure-docx/fig-projectionssb-1.png" id="278" name="Picture"/>
                          <pic:cNvPicPr>
                            <a:picLocks noChangeArrowheads="1" noChangeAspect="1"/>
                          </pic:cNvPicPr>
                        </pic:nvPicPr>
                        <pic:blipFill>
                          <a:blip r:embed="rId27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Historical and projected trajectories of spawning biomass from the North Pacific swordfish base case model based upon F scenarios. Dashed line indicates the spawning stock biomass at SSB</w:t>
            </w:r>
            <w:r>
              <w:rPr>
                <w:vertAlign w:val="subscript"/>
              </w:rPr>
              <w:t xml:space="preserve">MSY</w:t>
            </w:r>
            <w:r>
              <w:t xml:space="preserve">. The list of projection scenarios can be found in Table XX.</w:t>
            </w:r>
          </w:p>
          <w:bookmarkEnd w:id="27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83" w:name="fig-projectioncatch"/>
          <w:p>
            <w:pPr>
              <w:pStyle w:val="Figure"/>
              <w:jc w:val="center"/>
            </w:pPr>
            <w:r>
              <w:drawing>
                <wp:inline>
                  <wp:extent cx="5334000" cy="4000500"/>
                  <wp:effectExtent b="0" l="0" r="0" t="0"/>
                  <wp:docPr descr="" title="" id="281" name="Picture"/>
                  <a:graphic>
                    <a:graphicData uri="http://schemas.openxmlformats.org/drawingml/2006/picture">
                      <pic:pic>
                        <pic:nvPicPr>
                          <pic:cNvPr descr="BILLWG_SAR_files/figure-docx/fig-projectioncatch-1.png" id="282" name="Picture"/>
                          <pic:cNvPicPr>
                            <a:picLocks noChangeArrowheads="1" noChangeAspect="1"/>
                          </pic:cNvPicPr>
                        </pic:nvPicPr>
                        <pic:blipFill>
                          <a:blip r:embed="rId28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Historical and projected trajectories of catch from the North Pacific swordfish base case model based upon F scenarios. The list of projection scenarios can be found in Table XX.</w:t>
            </w:r>
          </w:p>
          <w:bookmarkEnd w:id="283"/>
        </w:tc>
      </w:tr>
    </w:tbl>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98" Target="media/rId198.png" /><Relationship Type="http://schemas.openxmlformats.org/officeDocument/2006/relationships/image" Id="rId186" Target="media/rId186.png" /><Relationship Type="http://schemas.openxmlformats.org/officeDocument/2006/relationships/image" Id="rId138" Target="media/rId138.png" /><Relationship Type="http://schemas.openxmlformats.org/officeDocument/2006/relationships/image" Id="rId85" Target="media/rId85.png" /><Relationship Type="http://schemas.openxmlformats.org/officeDocument/2006/relationships/image" Id="rId226" Target="media/rId226.png" /><Relationship Type="http://schemas.openxmlformats.org/officeDocument/2006/relationships/image" Id="rId202" Target="media/rId202.png" /><Relationship Type="http://schemas.openxmlformats.org/officeDocument/2006/relationships/image" Id="rId190" Target="media/rId190.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122" Target="media/rId122.png" /><Relationship Type="http://schemas.openxmlformats.org/officeDocument/2006/relationships/image" Id="rId280" Target="media/rId280.png" /><Relationship Type="http://schemas.openxmlformats.org/officeDocument/2006/relationships/image" Id="rId276" Target="media/rId276.png" /><Relationship Type="http://schemas.openxmlformats.org/officeDocument/2006/relationships/image" Id="rId194" Target="media/rId194.png" /><Relationship Type="http://schemas.openxmlformats.org/officeDocument/2006/relationships/image" Id="rId272" Target="media/rId272.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06" Target="media/rId206.png" /><Relationship Type="http://schemas.openxmlformats.org/officeDocument/2006/relationships/image" Id="rId130" Target="media/rId130.png" /><Relationship Type="http://schemas.openxmlformats.org/officeDocument/2006/relationships/image" Id="rId126" Target="media/rId126.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134" Target="media/rId134.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dcterms:created xsi:type="dcterms:W3CDTF">2023-05-31T20:33:02Z</dcterms:created>
  <dcterms:modified xsi:type="dcterms:W3CDTF">2023-05-31T20:33:02Z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bl-cap-location">
    <vt:lpwstr>top</vt:lpwstr>
  </property>
  <property fmtid="{D5CDD505-2E9C-101B-9397-08002B2CF9AE}" pid="14" name="toc-title">
    <vt:lpwstr>Table of contents</vt:lpwstr>
  </property>
</Properties>
</file>