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771" w:rsidRPr="004731E2" w:rsidRDefault="00326771">
      <w:pPr>
        <w:rPr>
          <w:rFonts w:ascii="Times New Roman" w:hAnsi="Times New Roman" w:cs="Times New Roman"/>
          <w:sz w:val="28"/>
          <w:szCs w:val="28"/>
        </w:rPr>
      </w:pPr>
    </w:p>
    <w:p w:rsidR="00326771" w:rsidRPr="004731E2" w:rsidRDefault="000648E9" w:rsidP="00326771">
      <w:pPr>
        <w:jc w:val="center"/>
        <w:rPr>
          <w:rFonts w:ascii="Times New Roman" w:hAnsi="Times New Roman" w:cs="Times New Roman"/>
          <w:b/>
          <w:bCs/>
          <w:sz w:val="28"/>
          <w:szCs w:val="28"/>
        </w:rPr>
      </w:pPr>
      <w:r w:rsidRPr="004731E2">
        <w:rPr>
          <w:rFonts w:ascii="Times New Roman" w:hAnsi="Times New Roman" w:cs="Times New Roman"/>
          <w:b/>
          <w:bCs/>
          <w:sz w:val="28"/>
          <w:szCs w:val="28"/>
        </w:rPr>
        <w:t xml:space="preserve">Standardization of </w:t>
      </w:r>
      <w:r w:rsidR="004731E2" w:rsidRPr="004731E2">
        <w:rPr>
          <w:rFonts w:ascii="Times New Roman" w:hAnsi="Times New Roman" w:cs="Times New Roman"/>
          <w:b/>
          <w:bCs/>
          <w:sz w:val="28"/>
          <w:szCs w:val="28"/>
        </w:rPr>
        <w:t>Western and Central North Pacific Swordfish (</w:t>
      </w:r>
      <w:proofErr w:type="spellStart"/>
      <w:r w:rsidR="004731E2" w:rsidRPr="004731E2">
        <w:rPr>
          <w:rFonts w:ascii="Times New Roman" w:hAnsi="Times New Roman" w:cs="Times New Roman"/>
          <w:b/>
          <w:bCs/>
          <w:i/>
          <w:sz w:val="28"/>
          <w:szCs w:val="28"/>
        </w:rPr>
        <w:t>Xiphias</w:t>
      </w:r>
      <w:proofErr w:type="spellEnd"/>
      <w:r w:rsidR="004731E2" w:rsidRPr="004731E2">
        <w:rPr>
          <w:rFonts w:ascii="Times New Roman" w:hAnsi="Times New Roman" w:cs="Times New Roman"/>
          <w:b/>
          <w:bCs/>
          <w:i/>
          <w:sz w:val="28"/>
          <w:szCs w:val="28"/>
        </w:rPr>
        <w:t xml:space="preserve"> gladius</w:t>
      </w:r>
      <w:r w:rsidR="004731E2" w:rsidRPr="004731E2">
        <w:rPr>
          <w:rFonts w:ascii="Times New Roman" w:hAnsi="Times New Roman" w:cs="Times New Roman"/>
          <w:b/>
          <w:bCs/>
          <w:sz w:val="28"/>
          <w:szCs w:val="28"/>
        </w:rPr>
        <w:t>)</w:t>
      </w:r>
      <w:r w:rsidRPr="004731E2">
        <w:rPr>
          <w:rFonts w:ascii="Times New Roman" w:hAnsi="Times New Roman" w:cs="Times New Roman"/>
          <w:b/>
          <w:bCs/>
          <w:sz w:val="28"/>
          <w:szCs w:val="28"/>
        </w:rPr>
        <w:t xml:space="preserve"> Catch </w:t>
      </w:r>
      <w:proofErr w:type="gramStart"/>
      <w:r w:rsidRPr="004731E2">
        <w:rPr>
          <w:rFonts w:ascii="Times New Roman" w:hAnsi="Times New Roman" w:cs="Times New Roman"/>
          <w:b/>
          <w:bCs/>
          <w:sz w:val="28"/>
          <w:szCs w:val="28"/>
        </w:rPr>
        <w:t>Per</w:t>
      </w:r>
      <w:proofErr w:type="gramEnd"/>
      <w:r w:rsidRPr="004731E2">
        <w:rPr>
          <w:rFonts w:ascii="Times New Roman" w:hAnsi="Times New Roman" w:cs="Times New Roman"/>
          <w:b/>
          <w:bCs/>
          <w:sz w:val="28"/>
          <w:szCs w:val="28"/>
        </w:rPr>
        <w:t xml:space="preserve"> Unit Effort in the Hawaii</w:t>
      </w:r>
      <w:r w:rsidR="004731E2" w:rsidRPr="004731E2">
        <w:rPr>
          <w:rFonts w:ascii="Times New Roman" w:hAnsi="Times New Roman" w:cs="Times New Roman"/>
          <w:b/>
          <w:bCs/>
          <w:sz w:val="28"/>
          <w:szCs w:val="28"/>
        </w:rPr>
        <w:t xml:space="preserve"> Longline Fishery from 1995-2021</w:t>
      </w:r>
    </w:p>
    <w:p w:rsidR="00326771" w:rsidRPr="004731E2" w:rsidRDefault="00326771">
      <w:pPr>
        <w:rPr>
          <w:rFonts w:ascii="Times New Roman" w:hAnsi="Times New Roman" w:cs="Times New Roman"/>
          <w:sz w:val="28"/>
          <w:szCs w:val="28"/>
        </w:rPr>
      </w:pPr>
    </w:p>
    <w:p w:rsidR="00326771" w:rsidRPr="004731E2" w:rsidRDefault="00326771">
      <w:pPr>
        <w:rPr>
          <w:rFonts w:ascii="Times New Roman" w:hAnsi="Times New Roman" w:cs="Times New Roman"/>
          <w:sz w:val="28"/>
          <w:szCs w:val="28"/>
        </w:rPr>
      </w:pPr>
    </w:p>
    <w:p w:rsidR="00326771" w:rsidRPr="004731E2" w:rsidRDefault="004731E2" w:rsidP="00326771">
      <w:pPr>
        <w:jc w:val="center"/>
        <w:rPr>
          <w:rFonts w:ascii="Times New Roman" w:hAnsi="Times New Roman" w:cs="Times New Roman"/>
          <w:szCs w:val="21"/>
        </w:rPr>
      </w:pPr>
      <w:r w:rsidRPr="004731E2">
        <w:rPr>
          <w:rFonts w:ascii="Times New Roman" w:hAnsi="Times New Roman" w:cs="Times New Roman"/>
          <w:szCs w:val="21"/>
        </w:rPr>
        <w:t xml:space="preserve">Erin </w:t>
      </w:r>
      <w:proofErr w:type="spellStart"/>
      <w:r w:rsidRPr="004731E2">
        <w:rPr>
          <w:rFonts w:ascii="Times New Roman" w:hAnsi="Times New Roman" w:cs="Times New Roman"/>
          <w:szCs w:val="21"/>
        </w:rPr>
        <w:t>Bohaboy</w:t>
      </w:r>
      <w:proofErr w:type="spellEnd"/>
      <w:r w:rsidRPr="004731E2">
        <w:rPr>
          <w:rFonts w:ascii="Times New Roman" w:hAnsi="Times New Roman" w:cs="Times New Roman"/>
          <w:szCs w:val="21"/>
        </w:rPr>
        <w:t xml:space="preserve">*, </w:t>
      </w:r>
      <w:r w:rsidR="000648E9" w:rsidRPr="004731E2">
        <w:rPr>
          <w:rFonts w:ascii="Times New Roman" w:hAnsi="Times New Roman" w:cs="Times New Roman"/>
          <w:szCs w:val="21"/>
        </w:rPr>
        <w:t>Michelle Sculley</w:t>
      </w:r>
      <w:r w:rsidR="00326771" w:rsidRPr="004731E2">
        <w:rPr>
          <w:rFonts w:ascii="Times New Roman" w:hAnsi="Times New Roman" w:cs="Times New Roman"/>
          <w:szCs w:val="21"/>
        </w:rPr>
        <w:t>*</w:t>
      </w:r>
    </w:p>
    <w:p w:rsidR="00326771" w:rsidRPr="004731E2" w:rsidRDefault="00326771" w:rsidP="00326771">
      <w:pPr>
        <w:jc w:val="left"/>
        <w:rPr>
          <w:rFonts w:ascii="Times New Roman" w:hAnsi="Times New Roman" w:cs="Times New Roman"/>
          <w:sz w:val="24"/>
        </w:rPr>
      </w:pPr>
    </w:p>
    <w:p w:rsidR="00326771" w:rsidRPr="004731E2" w:rsidRDefault="00326771" w:rsidP="00326771">
      <w:pPr>
        <w:jc w:val="center"/>
        <w:rPr>
          <w:rFonts w:ascii="Times New Roman" w:hAnsi="Times New Roman" w:cs="Times New Roman"/>
          <w:szCs w:val="21"/>
        </w:rPr>
      </w:pPr>
      <w:r w:rsidRPr="004731E2">
        <w:rPr>
          <w:rFonts w:ascii="Times New Roman" w:hAnsi="Times New Roman" w:cs="Times New Roman"/>
          <w:szCs w:val="21"/>
        </w:rPr>
        <w:t>*</w:t>
      </w:r>
      <w:r w:rsidR="00087056" w:rsidRPr="004731E2">
        <w:rPr>
          <w:rFonts w:ascii="Times New Roman" w:hAnsi="Times New Roman" w:cs="Times New Roman"/>
        </w:rPr>
        <w:t>National Marine Fisheries Service</w:t>
      </w:r>
      <w:r w:rsidR="00087056" w:rsidRPr="004731E2">
        <w:rPr>
          <w:rFonts w:ascii="Times New Roman" w:hAnsi="Times New Roman" w:cs="Times New Roman"/>
        </w:rPr>
        <w:br/>
        <w:t>1845 Wasp Boulevard</w:t>
      </w:r>
      <w:r w:rsidR="00087056" w:rsidRPr="004731E2">
        <w:rPr>
          <w:rFonts w:ascii="Times New Roman" w:hAnsi="Times New Roman" w:cs="Times New Roman"/>
        </w:rPr>
        <w:br/>
        <w:t>Honolulu, HI 96818</w:t>
      </w:r>
    </w:p>
    <w:p w:rsidR="00326771" w:rsidRPr="004731E2" w:rsidRDefault="00326771" w:rsidP="00EB6480">
      <w:pPr>
        <w:rPr>
          <w:rFonts w:ascii="Times New Roman" w:hAnsi="Times New Roman" w:cs="Times New Roman"/>
          <w:sz w:val="24"/>
        </w:rPr>
      </w:pPr>
    </w:p>
    <w:p w:rsidR="00326771" w:rsidRPr="004731E2" w:rsidRDefault="00326771" w:rsidP="00326771">
      <w:pPr>
        <w:jc w:val="center"/>
        <w:rPr>
          <w:rFonts w:ascii="Times New Roman" w:hAnsi="Times New Roman" w:cs="Times New Roman"/>
          <w:szCs w:val="21"/>
        </w:rPr>
      </w:pPr>
      <w:r w:rsidRPr="004731E2">
        <w:rPr>
          <w:rFonts w:ascii="Times New Roman" w:hAnsi="Times New Roman" w:cs="Times New Roman"/>
          <w:szCs w:val="21"/>
        </w:rPr>
        <w:t xml:space="preserve">Email: </w:t>
      </w:r>
      <w:r w:rsidR="00087056" w:rsidRPr="004731E2">
        <w:rPr>
          <w:rFonts w:ascii="Times New Roman" w:hAnsi="Times New Roman" w:cs="Times New Roman"/>
          <w:szCs w:val="21"/>
        </w:rPr>
        <w:t>michelle.sculley@noaa.gov</w:t>
      </w:r>
    </w:p>
    <w:p w:rsidR="00AE75FA" w:rsidRPr="004731E2" w:rsidRDefault="00AE75FA" w:rsidP="00EB6480">
      <w:pPr>
        <w:rPr>
          <w:rFonts w:ascii="Times New Roman" w:hAnsi="Times New Roman" w:cs="Times New Roman"/>
          <w:sz w:val="24"/>
        </w:rPr>
      </w:pPr>
    </w:p>
    <w:p w:rsidR="000A5335" w:rsidRPr="004731E2" w:rsidRDefault="000A5335" w:rsidP="00EB6480">
      <w:pPr>
        <w:rPr>
          <w:rFonts w:ascii="Times New Roman" w:hAnsi="Times New Roman" w:cs="Times New Roman"/>
          <w:sz w:val="24"/>
        </w:rPr>
      </w:pPr>
    </w:p>
    <w:p w:rsidR="000A5335" w:rsidRPr="004731E2" w:rsidRDefault="000A5335" w:rsidP="00EB6480">
      <w:pPr>
        <w:rPr>
          <w:rFonts w:ascii="Times New Roman" w:hAnsi="Times New Roman" w:cs="Times New Roman"/>
          <w:sz w:val="24"/>
        </w:rPr>
      </w:pPr>
    </w:p>
    <w:p w:rsidR="000A5335" w:rsidRPr="004731E2" w:rsidRDefault="002817E1" w:rsidP="000A5335">
      <w:pPr>
        <w:jc w:val="center"/>
        <w:rPr>
          <w:rFonts w:ascii="Times New Roman" w:hAnsi="Times New Roman" w:cs="Times New Roman"/>
          <w:sz w:val="24"/>
        </w:rPr>
      </w:pPr>
      <w:r w:rsidRPr="004731E2">
        <w:rPr>
          <w:rFonts w:ascii="Times New Roman" w:hAnsi="Times New Roman" w:cs="Times New Roman"/>
          <w:noProof/>
          <w:sz w:val="24"/>
          <w:lang w:eastAsia="en-US"/>
        </w:rPr>
        <w:drawing>
          <wp:inline distT="0" distB="0" distL="0" distR="0">
            <wp:extent cx="2007809" cy="10541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動物, 魚 が含まれている画像&#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7809" cy="1054100"/>
                    </a:xfrm>
                    <a:prstGeom prst="rect">
                      <a:avLst/>
                    </a:prstGeom>
                  </pic:spPr>
                </pic:pic>
              </a:graphicData>
            </a:graphic>
          </wp:inline>
        </w:drawing>
      </w:r>
    </w:p>
    <w:p w:rsidR="00EB6480" w:rsidRPr="004731E2" w:rsidRDefault="00EB6480" w:rsidP="002817E1">
      <w:pPr>
        <w:rPr>
          <w:rFonts w:ascii="Times New Roman" w:hAnsi="Times New Roman" w:cs="Times New Roman"/>
          <w:sz w:val="24"/>
        </w:rPr>
      </w:pPr>
    </w:p>
    <w:p w:rsidR="00EB6480" w:rsidRPr="004731E2" w:rsidRDefault="00EB6480" w:rsidP="00EB6480">
      <w:pPr>
        <w:rPr>
          <w:rFonts w:ascii="Times New Roman" w:hAnsi="Times New Roman" w:cs="Times New Roman"/>
          <w:sz w:val="24"/>
        </w:rPr>
      </w:pPr>
    </w:p>
    <w:p w:rsidR="00EB6480" w:rsidRPr="004731E2" w:rsidRDefault="00EB6480" w:rsidP="00EB6480">
      <w:pPr>
        <w:rPr>
          <w:rFonts w:ascii="Times New Roman" w:hAnsi="Times New Roman" w:cs="Times New Roman"/>
          <w:sz w:val="24"/>
        </w:rPr>
        <w:sectPr w:rsidR="00EB6480" w:rsidRPr="004731E2" w:rsidSect="00D260D6">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pgNumType w:start="1"/>
          <w:cols w:space="425"/>
          <w:docGrid w:type="lines" w:linePitch="360"/>
        </w:sectPr>
      </w:pPr>
    </w:p>
    <w:p w:rsidR="004731E2" w:rsidRPr="004731E2" w:rsidRDefault="004731E2" w:rsidP="004731E2">
      <w:pPr>
        <w:pStyle w:val="Heading1"/>
      </w:pPr>
      <w:r w:rsidRPr="004731E2">
        <w:lastRenderedPageBreak/>
        <w:t>Abstract</w:t>
      </w:r>
    </w:p>
    <w:p w:rsidR="004731E2" w:rsidRPr="004731E2" w:rsidRDefault="004731E2" w:rsidP="004731E2">
      <w:pPr>
        <w:rPr>
          <w:rStyle w:val="IntenseEmphasis"/>
          <w:rFonts w:ascii="Times New Roman" w:hAnsi="Times New Roman" w:cs="Times New Roman"/>
          <w:b w:val="0"/>
          <w:i w:val="0"/>
          <w:color w:val="auto"/>
          <w:sz w:val="24"/>
        </w:rPr>
      </w:pPr>
      <w:r w:rsidRPr="004731E2">
        <w:rPr>
          <w:rStyle w:val="IntenseEmphasis"/>
          <w:rFonts w:ascii="Times New Roman" w:hAnsi="Times New Roman" w:cs="Times New Roman"/>
          <w:b w:val="0"/>
          <w:i w:val="0"/>
          <w:color w:val="auto"/>
          <w:sz w:val="24"/>
        </w:rPr>
        <w:t>The swordfish (</w:t>
      </w:r>
      <w:proofErr w:type="spellStart"/>
      <w:r w:rsidRPr="004731E2">
        <w:rPr>
          <w:rStyle w:val="IntenseEmphasis"/>
          <w:rFonts w:ascii="Times New Roman" w:hAnsi="Times New Roman" w:cs="Times New Roman"/>
          <w:b w:val="0"/>
          <w:color w:val="auto"/>
          <w:sz w:val="24"/>
        </w:rPr>
        <w:t>Xiphias</w:t>
      </w:r>
      <w:proofErr w:type="spellEnd"/>
      <w:r w:rsidRPr="004731E2">
        <w:rPr>
          <w:rStyle w:val="IntenseEmphasis"/>
          <w:rFonts w:ascii="Times New Roman" w:hAnsi="Times New Roman" w:cs="Times New Roman"/>
          <w:b w:val="0"/>
          <w:color w:val="auto"/>
          <w:sz w:val="24"/>
        </w:rPr>
        <w:t xml:space="preserve"> gladius</w:t>
      </w:r>
      <w:r w:rsidRPr="004731E2">
        <w:rPr>
          <w:rStyle w:val="IntenseEmphasis"/>
          <w:rFonts w:ascii="Times New Roman" w:hAnsi="Times New Roman" w:cs="Times New Roman"/>
          <w:b w:val="0"/>
          <w:i w:val="0"/>
          <w:color w:val="auto"/>
          <w:sz w:val="24"/>
        </w:rPr>
        <w:t>) catch per unit effort for the Hawaii-based longline fishery was standardized from the Pacific Islands Regional Observer data set. The fishery was divided into the tuna-targeting deep-set sector and the swordfish-targeting shallow-set sector. Additionally, the shallow-set sector was standardized in two time periods: an early period (1995–2000) and a late period (2005–20</w:t>
      </w:r>
      <w:r w:rsidR="00E63F15">
        <w:rPr>
          <w:rStyle w:val="IntenseEmphasis"/>
          <w:rFonts w:ascii="Times New Roman" w:hAnsi="Times New Roman" w:cs="Times New Roman"/>
          <w:b w:val="0"/>
          <w:i w:val="0"/>
          <w:color w:val="auto"/>
          <w:sz w:val="24"/>
        </w:rPr>
        <w:t>21</w:t>
      </w:r>
      <w:r w:rsidRPr="004731E2">
        <w:rPr>
          <w:rStyle w:val="IntenseEmphasis"/>
          <w:rFonts w:ascii="Times New Roman" w:hAnsi="Times New Roman" w:cs="Times New Roman"/>
          <w:b w:val="0"/>
          <w:i w:val="0"/>
          <w:color w:val="auto"/>
          <w:sz w:val="24"/>
        </w:rPr>
        <w:t xml:space="preserve">) because the shallow-set fishery was closed from 2001 to 2004, and regulations caused changes in the fleet operations thereafter. </w:t>
      </w:r>
      <w:r w:rsidRPr="00E63F15">
        <w:rPr>
          <w:rStyle w:val="IntenseEmphasis"/>
          <w:rFonts w:ascii="Times New Roman" w:hAnsi="Times New Roman" w:cs="Times New Roman"/>
          <w:b w:val="0"/>
          <w:i w:val="0"/>
          <w:color w:val="auto"/>
          <w:sz w:val="24"/>
          <w:highlight w:val="yellow"/>
        </w:rPr>
        <w:t>Four different models were evaluated to standardize the CPUE for each time series: the delta-lognormal model, the negative binomial model, the zero-inflated negative binomial model, and the Poisson model. The delta-lognormal model provided the best model fits and explained the most percent deviance of those evaluated. The models explained between 26 and 65% of the deviance in the shallow-set sector and 35% of the deviance in the positive catches for the deep-set sector, but only 4% of the proportion of positive catches in the deep-set sector. The shallow-set standardized annual CPUE values show an increase in catch rates in the early period followed by a peak in 2006 after the closure. CPUE values increased again from 2010 to the present. The CPUE values for the deep-set sector were relatively flat and had high variability.</w:t>
      </w:r>
    </w:p>
    <w:p w:rsidR="004731E2" w:rsidRPr="004731E2" w:rsidRDefault="004731E2" w:rsidP="004731E2">
      <w:pPr>
        <w:pStyle w:val="Heading1"/>
      </w:pPr>
      <w:r w:rsidRPr="004731E2">
        <w:t>Introduction</w:t>
      </w:r>
    </w:p>
    <w:p w:rsidR="004731E2" w:rsidRPr="004731E2" w:rsidRDefault="004731E2" w:rsidP="004731E2">
      <w:pPr>
        <w:rPr>
          <w:rFonts w:ascii="Times New Roman" w:hAnsi="Times New Roman" w:cs="Times New Roman"/>
          <w:bCs/>
          <w:iCs/>
          <w:sz w:val="24"/>
        </w:rPr>
      </w:pPr>
      <w:bookmarkStart w:id="0" w:name="_Ref499308082"/>
      <w:r w:rsidRPr="004731E2">
        <w:rPr>
          <w:rFonts w:ascii="Times New Roman" w:hAnsi="Times New Roman" w:cs="Times New Roman"/>
          <w:bCs/>
          <w:iCs/>
          <w:sz w:val="24"/>
        </w:rPr>
        <w:t>Broadbill swordfish (</w:t>
      </w:r>
      <w:proofErr w:type="spellStart"/>
      <w:r w:rsidRPr="004731E2">
        <w:rPr>
          <w:rFonts w:ascii="Times New Roman" w:hAnsi="Times New Roman" w:cs="Times New Roman"/>
          <w:bCs/>
          <w:i/>
          <w:iCs/>
          <w:sz w:val="24"/>
        </w:rPr>
        <w:t>Xiphias</w:t>
      </w:r>
      <w:proofErr w:type="spellEnd"/>
      <w:r w:rsidRPr="004731E2">
        <w:rPr>
          <w:rFonts w:ascii="Times New Roman" w:hAnsi="Times New Roman" w:cs="Times New Roman"/>
          <w:bCs/>
          <w:i/>
          <w:iCs/>
          <w:sz w:val="24"/>
        </w:rPr>
        <w:t xml:space="preserve"> gladius</w:t>
      </w:r>
      <w:r w:rsidRPr="004731E2">
        <w:rPr>
          <w:rFonts w:ascii="Times New Roman" w:hAnsi="Times New Roman" w:cs="Times New Roman"/>
          <w:bCs/>
          <w:iCs/>
          <w:sz w:val="24"/>
        </w:rPr>
        <w:t xml:space="preserve">) inhabit the Pacific Ocean between 50° N and 50° S. They are a commercially important highly migratory species caught primarily by the Japanese, Taiwanese, and U.S. longline fisheries (Bigelow </w:t>
      </w:r>
      <w:r w:rsidRPr="004731E2">
        <w:rPr>
          <w:rFonts w:ascii="Times New Roman" w:hAnsi="Times New Roman" w:cs="Times New Roman"/>
          <w:bCs/>
          <w:i/>
          <w:iCs/>
          <w:sz w:val="24"/>
        </w:rPr>
        <w:t>et al.</w:t>
      </w:r>
      <w:r w:rsidRPr="004731E2">
        <w:rPr>
          <w:rFonts w:ascii="Times New Roman" w:hAnsi="Times New Roman" w:cs="Times New Roman"/>
          <w:bCs/>
          <w:iCs/>
          <w:sz w:val="24"/>
        </w:rPr>
        <w:t>, 1999). The swordfish stock in the North Pacific has been assessed as a single stock scenario and under a two stock scenario, with one stock in the western central Pacific Ocean (WCNPO) and one stock in the eastern Pacific Ocean (EPO). These stocks were assessed in 2009 and again in 2014 by the Billfish Working Group (BILLWG) of the International Scientific Committee for Tuna and Tuna-like Species in the North Pacific Ocean (ISC) (ISC BILLWG, 2009; ISC BILLWG, 2014). The 2018 assessment of North Pacific swordfish only considered the WCNPO (ISC BILLWG 2019), and subsequent discussions with the Pacific Community and the Inter-American Tropical Tuna Commission (IATTC) redefined the EPO stock as a primarily southern stock. The southwest Pacific stock (SWPO) and the EPO stocks were assessed in 2021 and 2022, respectively (</w:t>
      </w:r>
      <w:proofErr w:type="spellStart"/>
      <w:r w:rsidRPr="004731E2">
        <w:rPr>
          <w:rFonts w:ascii="Times New Roman" w:hAnsi="Times New Roman" w:cs="Times New Roman"/>
          <w:bCs/>
          <w:iCs/>
          <w:sz w:val="24"/>
        </w:rPr>
        <w:t>Ducharme</w:t>
      </w:r>
      <w:proofErr w:type="spellEnd"/>
      <w:r w:rsidRPr="004731E2">
        <w:rPr>
          <w:rFonts w:ascii="Times New Roman" w:hAnsi="Times New Roman" w:cs="Times New Roman"/>
          <w:bCs/>
          <w:iCs/>
          <w:sz w:val="24"/>
        </w:rPr>
        <w:t xml:space="preserve">-Barth, </w:t>
      </w:r>
      <w:r w:rsidRPr="004731E2">
        <w:rPr>
          <w:rFonts w:ascii="Times New Roman" w:hAnsi="Times New Roman" w:cs="Times New Roman"/>
          <w:bCs/>
          <w:i/>
          <w:iCs/>
          <w:sz w:val="24"/>
        </w:rPr>
        <w:t>et al.</w:t>
      </w:r>
      <w:r w:rsidRPr="004731E2">
        <w:rPr>
          <w:rFonts w:ascii="Times New Roman" w:hAnsi="Times New Roman" w:cs="Times New Roman"/>
          <w:bCs/>
          <w:iCs/>
          <w:sz w:val="24"/>
        </w:rPr>
        <w:t xml:space="preserve">, 2021, </w:t>
      </w:r>
      <w:proofErr w:type="spellStart"/>
      <w:r w:rsidRPr="004731E2">
        <w:rPr>
          <w:rFonts w:ascii="Times New Roman" w:hAnsi="Times New Roman" w:cs="Times New Roman"/>
          <w:bCs/>
          <w:iCs/>
          <w:sz w:val="24"/>
        </w:rPr>
        <w:t>Minte</w:t>
      </w:r>
      <w:proofErr w:type="spellEnd"/>
      <w:r w:rsidRPr="004731E2">
        <w:rPr>
          <w:rFonts w:ascii="Times New Roman" w:hAnsi="Times New Roman" w:cs="Times New Roman"/>
          <w:bCs/>
          <w:iCs/>
          <w:sz w:val="24"/>
        </w:rPr>
        <w:t xml:space="preserve">-Vera, et al., 2022). </w:t>
      </w:r>
      <w:bookmarkStart w:id="1" w:name="_GoBack"/>
      <w:bookmarkEnd w:id="1"/>
    </w:p>
    <w:p w:rsidR="004731E2" w:rsidRPr="004731E2" w:rsidRDefault="004731E2" w:rsidP="004731E2">
      <w:pPr>
        <w:rPr>
          <w:rFonts w:ascii="Times New Roman" w:hAnsi="Times New Roman" w:cs="Times New Roman"/>
          <w:bCs/>
          <w:iCs/>
          <w:sz w:val="24"/>
        </w:rPr>
      </w:pPr>
    </w:p>
    <w:p w:rsidR="004731E2" w:rsidRPr="004731E2" w:rsidRDefault="004731E2" w:rsidP="004731E2">
      <w:pPr>
        <w:rPr>
          <w:rStyle w:val="IntenseEmphasis"/>
          <w:rFonts w:ascii="Times New Roman" w:hAnsi="Times New Roman" w:cs="Times New Roman"/>
          <w:b w:val="0"/>
          <w:i w:val="0"/>
          <w:sz w:val="24"/>
        </w:rPr>
      </w:pPr>
      <w:r w:rsidRPr="004731E2">
        <w:rPr>
          <w:rFonts w:ascii="Times New Roman" w:hAnsi="Times New Roman" w:cs="Times New Roman"/>
          <w:sz w:val="24"/>
        </w:rPr>
        <w:t xml:space="preserve">The BILLWG of the International Scientific Committee for Tuna and Tuna-like Species in the North Pacific (ISC) has proposed to attempt a benchmark assessment of North Pacific swordfish </w:t>
      </w:r>
      <w:proofErr w:type="spellStart"/>
      <w:r w:rsidRPr="004731E2">
        <w:rPr>
          <w:rFonts w:ascii="Times New Roman" w:hAnsi="Times New Roman" w:cs="Times New Roman"/>
          <w:sz w:val="24"/>
        </w:rPr>
        <w:t>Xiphias</w:t>
      </w:r>
      <w:proofErr w:type="spellEnd"/>
      <w:r w:rsidRPr="004731E2">
        <w:rPr>
          <w:rFonts w:ascii="Times New Roman" w:hAnsi="Times New Roman" w:cs="Times New Roman"/>
          <w:sz w:val="24"/>
        </w:rPr>
        <w:t xml:space="preserve"> gladius in 2023. In preparation for the assessment, this working paper describes the standardization swordfish catch rates from the Hawaii-based longline fleet, which targets swordfish in the shallow-set sector and catches swordfish as bycatch in the deep-set sector.</w:t>
      </w:r>
      <w:r w:rsidRPr="004731E2">
        <w:rPr>
          <w:rStyle w:val="IntenseEmphasis"/>
          <w:rFonts w:ascii="Times New Roman" w:hAnsi="Times New Roman" w:cs="Times New Roman"/>
          <w:b w:val="0"/>
          <w:i w:val="0"/>
          <w:sz w:val="24"/>
        </w:rPr>
        <w:t xml:space="preserve"> </w:t>
      </w:r>
      <w:r w:rsidRPr="004731E2">
        <w:rPr>
          <w:rFonts w:ascii="Times New Roman" w:hAnsi="Times New Roman" w:cs="Times New Roman"/>
          <w:sz w:val="24"/>
        </w:rPr>
        <w:t xml:space="preserve">Swordfish are caught as targeted-species in the Hawaiian longline shallow-set fishery sector (&lt; 15 hooks per float) and as bycatch in the tuna targeting Hawaiian longline deep-set fishery sector (≥ 15 hooks per float). This fleet has been described previously by Ito and Childers (2018) and also in a working paper submitted to the same BILLWG session (Ito 2023) and there have not been additional substantial changes to the fishery since 2018. Historically the Hawaiian longline fishery has targeted tuna; however, in the early 1990s the number of vessels targeting swordfish began increasing and the fleet accounted for 40% of the total US swordfish catch in 2012. Observers </w:t>
      </w:r>
      <w:r w:rsidRPr="004731E2">
        <w:rPr>
          <w:rFonts w:ascii="Times New Roman" w:hAnsi="Times New Roman" w:cs="Times New Roman"/>
          <w:sz w:val="24"/>
        </w:rPr>
        <w:lastRenderedPageBreak/>
        <w:t xml:space="preserve">were first placed onboard longline vessels in 1994. </w:t>
      </w:r>
      <w:r w:rsidRPr="004731E2">
        <w:rPr>
          <w:rFonts w:ascii="Times New Roman" w:hAnsi="Times New Roman" w:cs="Times New Roman"/>
          <w:color w:val="000000"/>
          <w:sz w:val="24"/>
        </w:rPr>
        <w:t xml:space="preserve">Interactions with protected sea turtles caused the closure of the shallow-set swordfish fishery from February 2001 to May 2004 (Gilman </w:t>
      </w:r>
      <w:r w:rsidRPr="004731E2">
        <w:rPr>
          <w:rFonts w:ascii="Times New Roman" w:hAnsi="Times New Roman" w:cs="Times New Roman"/>
          <w:i/>
          <w:color w:val="000000"/>
          <w:sz w:val="24"/>
        </w:rPr>
        <w:t>et al.,</w:t>
      </w:r>
      <w:r w:rsidRPr="004731E2">
        <w:rPr>
          <w:rFonts w:ascii="Times New Roman" w:hAnsi="Times New Roman" w:cs="Times New Roman"/>
          <w:color w:val="000000"/>
          <w:sz w:val="24"/>
        </w:rPr>
        <w:t xml:space="preserve"> 2007).  During this time many vessels targeting swordfish began targeting tuna. A second closure occurred March–December 2006 when the Hawaii-based shallow-set longline fishery for swordfish reached the annual limit for interactions with loggerhead sea turtles, and additional closures of the fishery have occurred in recent years (NMFS, 2022). Several changes to the reporting regulations have occurred since its onset in 1994 (Pacific Islands Region Office, 2017). Observer coverage varied significantly prior to 2000, with observer coverage between 3.3 and 10.4 % for the entire fishery (NMFS, 2022). Starting in 2001, the observer program had a target of 20% observer coverage on deep-set longline vessels and mandatory 100% observer coverage on shallow-set longline vessels.</w:t>
      </w:r>
    </w:p>
    <w:p w:rsidR="004731E2" w:rsidRPr="004731E2" w:rsidRDefault="004731E2" w:rsidP="004731E2">
      <w:pPr>
        <w:pStyle w:val="Heading1"/>
      </w:pPr>
      <w:r w:rsidRPr="004731E2">
        <w:t>Methods</w:t>
      </w:r>
      <w:bookmarkEnd w:id="0"/>
    </w:p>
    <w:p w:rsidR="004731E2" w:rsidRPr="004731E2" w:rsidRDefault="004731E2" w:rsidP="004731E2">
      <w:pPr>
        <w:pStyle w:val="Heading2"/>
        <w:rPr>
          <w:szCs w:val="24"/>
        </w:rPr>
      </w:pPr>
      <w:r w:rsidRPr="004731E2">
        <w:rPr>
          <w:szCs w:val="24"/>
        </w:rPr>
        <w:t>Data Sources</w:t>
      </w:r>
    </w:p>
    <w:p w:rsidR="004731E2" w:rsidRPr="004731E2" w:rsidRDefault="004731E2" w:rsidP="004731E2">
      <w:pPr>
        <w:rPr>
          <w:rFonts w:ascii="Times New Roman" w:hAnsi="Times New Roman" w:cs="Times New Roman"/>
          <w:sz w:val="24"/>
        </w:rPr>
      </w:pPr>
      <w:r w:rsidRPr="004731E2">
        <w:rPr>
          <w:rFonts w:ascii="Times New Roman" w:hAnsi="Times New Roman" w:cs="Times New Roman"/>
          <w:sz w:val="24"/>
        </w:rPr>
        <w:t xml:space="preserve">The US Federal logbook program to monitor the Hawaii-based longline fishing fleet began in November 1990 to manage US domestic fisheries for tuna, swordfish, and other economically important pelagic species. Logbooks are filed by all operators of fishing vessels conducting longline fishing operations on the High Seas and within the U.S. Exclusive Economic Zone in American Samoa, Guam, Hawaii, the Northern Mariana Islands, and U.S. possessions in the western Pacific and offloading in U.S. ports and provide set-by-set information on environmental and operational aspects of fishing operations. The Hawaii-based longline fishery can be divided into two sectors, the tuna-targeting deep-set sector comprises the majority of the fish fleet and the swordfish-targeting shallow-set sector. Data were extracted from the Oracle database on 2 September 2022. After filtering for incomplete and erroneous entries, there </w:t>
      </w:r>
      <w:r w:rsidRPr="004731E2">
        <w:rPr>
          <w:rFonts w:ascii="Times New Roman" w:hAnsi="Times New Roman" w:cs="Times New Roman"/>
          <w:sz w:val="24"/>
          <w:highlight w:val="yellow"/>
        </w:rPr>
        <w:t>were 335,876 sets available for inclusion from 1 January 1995 to 31 December 2020.</w:t>
      </w:r>
      <w:r w:rsidRPr="004731E2">
        <w:rPr>
          <w:rFonts w:ascii="Times New Roman" w:hAnsi="Times New Roman" w:cs="Times New Roman"/>
          <w:sz w:val="24"/>
        </w:rPr>
        <w:t xml:space="preserve"> </w:t>
      </w:r>
    </w:p>
    <w:p w:rsidR="004731E2" w:rsidRPr="004731E2" w:rsidRDefault="004731E2" w:rsidP="004731E2">
      <w:pPr>
        <w:rPr>
          <w:rFonts w:ascii="Times New Roman" w:hAnsi="Times New Roman" w:cs="Times New Roman"/>
          <w:sz w:val="24"/>
        </w:rPr>
      </w:pPr>
      <w:r w:rsidRPr="004731E2">
        <w:rPr>
          <w:rFonts w:ascii="Times New Roman" w:hAnsi="Times New Roman" w:cs="Times New Roman"/>
          <w:sz w:val="24"/>
        </w:rPr>
        <w:t>The deep-set trips are typically further south than the shallow-set trips, which are concentrated around the sub-tropical frontal zone (STFZ) where large swordfish are caught (Sculley et al., 2019). After the closure, shallow sets were defined as sets with fewer than 15 hooks per float, however, prior to the closure most sets targeting tuna used 10 or more hooks per set. To be consistent with the fishermen behavior prior to 2004, deep-set trips were defined as using 10 hooks per float or more as the division prior to 2004, and using 15 hooks per float or more from 2004 through the present (Sculley, 2019).</w:t>
      </w:r>
    </w:p>
    <w:p w:rsidR="004731E2" w:rsidRPr="004731E2" w:rsidRDefault="004731E2" w:rsidP="004731E2">
      <w:pPr>
        <w:rPr>
          <w:rFonts w:ascii="Times New Roman" w:hAnsi="Times New Roman" w:cs="Times New Roman"/>
          <w:sz w:val="24"/>
        </w:rPr>
      </w:pPr>
      <w:r w:rsidRPr="004731E2">
        <w:rPr>
          <w:rFonts w:ascii="Times New Roman" w:hAnsi="Times New Roman" w:cs="Times New Roman"/>
          <w:sz w:val="24"/>
        </w:rPr>
        <w:t xml:space="preserve">The environmental variables used in the standardization were obtained from publically available data sets. Sea Surface temperatures (SST) from January 1994 present were based on monthly 0.5° resolution composites from the NOAA GOES-E/W satellite downloaded from Pacific Islands Fisheries Science Center (PIFSC) </w:t>
      </w:r>
      <w:proofErr w:type="spellStart"/>
      <w:r w:rsidRPr="004731E2">
        <w:rPr>
          <w:rFonts w:ascii="Times New Roman" w:hAnsi="Times New Roman" w:cs="Times New Roman"/>
          <w:sz w:val="24"/>
        </w:rPr>
        <w:t>OceanWatch</w:t>
      </w:r>
      <w:proofErr w:type="spellEnd"/>
      <w:r w:rsidRPr="004731E2">
        <w:rPr>
          <w:rFonts w:ascii="Times New Roman" w:hAnsi="Times New Roman" w:cs="Times New Roman"/>
          <w:sz w:val="24"/>
        </w:rPr>
        <w:t xml:space="preserve"> (2022). The Southern Oscillation Index (SOI), the Pacific Decadal Oscillation Index (PDO), and the el Niño Southern Oscillation Oceanic Niño Index (ONI) were monthly region wide indices (NOAA NCDC, 2022). Mixed layer depth (MLD) were based on 0.33° × 1° monthly means of </w:t>
      </w:r>
      <w:r w:rsidRPr="004731E2">
        <w:rPr>
          <w:rFonts w:ascii="Times New Roman" w:hAnsi="Times New Roman" w:cs="Times New Roman"/>
          <w:iCs/>
          <w:sz w:val="24"/>
        </w:rPr>
        <w:t>GODAS data provided by the NOAA/OAR/ESRL PSD, Boulder, Colorado, USA</w:t>
      </w:r>
      <w:r w:rsidRPr="004731E2">
        <w:rPr>
          <w:rFonts w:ascii="Times New Roman" w:hAnsi="Times New Roman" w:cs="Times New Roman"/>
          <w:iCs/>
          <w:sz w:val="24"/>
          <w:vertAlign w:val="superscript"/>
        </w:rPr>
        <w:footnoteReference w:id="1"/>
      </w:r>
      <w:r w:rsidRPr="004731E2">
        <w:rPr>
          <w:rFonts w:ascii="Times New Roman" w:hAnsi="Times New Roman" w:cs="Times New Roman"/>
          <w:iCs/>
          <w:sz w:val="24"/>
        </w:rPr>
        <w:t xml:space="preserve">. </w:t>
      </w:r>
      <w:r w:rsidRPr="004731E2">
        <w:rPr>
          <w:rFonts w:ascii="Times New Roman" w:hAnsi="Times New Roman" w:cs="Times New Roman"/>
          <w:sz w:val="24"/>
        </w:rPr>
        <w:t>Lunar illumination data consisted of values between 0 and 1 which measured the proportion of the moon illuminated above Hawaii. It can be used as a proxy to indicate lunar stage with 0 indicating a new moon and 1 indicating a full moon (US Naval Observatory, 2022).</w:t>
      </w:r>
    </w:p>
    <w:p w:rsidR="004731E2" w:rsidRPr="004731E2" w:rsidRDefault="004731E2" w:rsidP="004731E2">
      <w:pPr>
        <w:pStyle w:val="Heading2"/>
        <w:rPr>
          <w:szCs w:val="24"/>
        </w:rPr>
      </w:pPr>
      <w:r w:rsidRPr="004731E2">
        <w:rPr>
          <w:szCs w:val="24"/>
        </w:rPr>
        <w:lastRenderedPageBreak/>
        <w:t>CPUE Standardization</w:t>
      </w:r>
    </w:p>
    <w:p w:rsidR="004731E2" w:rsidRPr="004731E2" w:rsidRDefault="004731E2" w:rsidP="004731E2">
      <w:pPr>
        <w:pStyle w:val="Heading1"/>
      </w:pPr>
      <w:r w:rsidRPr="004731E2">
        <w:t>Results</w:t>
      </w:r>
    </w:p>
    <w:p w:rsidR="004731E2" w:rsidRPr="004731E2" w:rsidRDefault="004731E2" w:rsidP="004731E2">
      <w:pPr>
        <w:pStyle w:val="Heading2"/>
        <w:rPr>
          <w:szCs w:val="24"/>
        </w:rPr>
      </w:pPr>
      <w:r w:rsidRPr="004731E2">
        <w:rPr>
          <w:szCs w:val="24"/>
        </w:rPr>
        <w:t xml:space="preserve">Descriptive Catch Statistics </w:t>
      </w:r>
    </w:p>
    <w:p w:rsidR="004731E2" w:rsidRPr="004731E2" w:rsidRDefault="004731E2" w:rsidP="004731E2">
      <w:pPr>
        <w:pStyle w:val="Heading2"/>
        <w:rPr>
          <w:szCs w:val="24"/>
        </w:rPr>
      </w:pPr>
      <w:r w:rsidRPr="004731E2">
        <w:rPr>
          <w:szCs w:val="24"/>
        </w:rPr>
        <w:t>CPUE Standardization</w:t>
      </w:r>
    </w:p>
    <w:p w:rsidR="004731E2" w:rsidRPr="004731E2" w:rsidRDefault="004731E2" w:rsidP="004731E2">
      <w:pPr>
        <w:pStyle w:val="Heading1"/>
      </w:pPr>
      <w:r w:rsidRPr="004731E2">
        <w:t>Discussion</w:t>
      </w:r>
    </w:p>
    <w:p w:rsidR="004731E2" w:rsidRPr="004731E2" w:rsidRDefault="004731E2" w:rsidP="004731E2">
      <w:pPr>
        <w:pStyle w:val="Heading1"/>
      </w:pPr>
      <w:r w:rsidRPr="004731E2">
        <w:t>Literature Cited</w:t>
      </w:r>
    </w:p>
    <w:p w:rsidR="004731E2" w:rsidRPr="004731E2" w:rsidRDefault="004731E2" w:rsidP="004731E2">
      <w:pPr>
        <w:pStyle w:val="Literature"/>
        <w:rPr>
          <w:rFonts w:eastAsia="Times New Roman"/>
          <w:szCs w:val="24"/>
        </w:rPr>
      </w:pPr>
      <w:r w:rsidRPr="004731E2">
        <w:rPr>
          <w:rFonts w:eastAsia="Times New Roman"/>
          <w:szCs w:val="24"/>
        </w:rPr>
        <w:t>Bigelow, K. A., C. H. Boggs and He, X. I. 1999. Environmental effects on swordfish and blue shark catch rates in the US North Pacific longline fishery. Fisheries Oceanography 8(3): 178-198.</w:t>
      </w:r>
    </w:p>
    <w:p w:rsidR="004731E2" w:rsidRPr="004731E2" w:rsidRDefault="004731E2" w:rsidP="004731E2">
      <w:pPr>
        <w:pStyle w:val="Literature"/>
        <w:rPr>
          <w:szCs w:val="24"/>
        </w:rPr>
      </w:pPr>
      <w:proofErr w:type="spellStart"/>
      <w:r w:rsidRPr="004731E2">
        <w:rPr>
          <w:szCs w:val="24"/>
        </w:rPr>
        <w:t>Ducharme</w:t>
      </w:r>
      <w:proofErr w:type="spellEnd"/>
      <w:r w:rsidRPr="004731E2">
        <w:rPr>
          <w:szCs w:val="24"/>
        </w:rPr>
        <w:t xml:space="preserve">-Barth, N., C. </w:t>
      </w:r>
      <w:proofErr w:type="spellStart"/>
      <w:r w:rsidRPr="004731E2">
        <w:rPr>
          <w:szCs w:val="24"/>
        </w:rPr>
        <w:t>Catillo</w:t>
      </w:r>
      <w:proofErr w:type="spellEnd"/>
      <w:r w:rsidRPr="004731E2">
        <w:rPr>
          <w:szCs w:val="24"/>
        </w:rPr>
        <w:t>-Jordan, J. Hampton, P. Williams, G. Pilling, and Hamer, P. 2021. Stock assessment of southwest Pacific swordfish. WCPFC-SC17-2021/SA-WP-04. 151 pp.</w:t>
      </w:r>
    </w:p>
    <w:p w:rsidR="004731E2" w:rsidRPr="004731E2" w:rsidRDefault="004731E2" w:rsidP="004731E2">
      <w:pPr>
        <w:pStyle w:val="Literature"/>
        <w:rPr>
          <w:szCs w:val="24"/>
        </w:rPr>
      </w:pPr>
      <w:r w:rsidRPr="004731E2">
        <w:rPr>
          <w:szCs w:val="24"/>
        </w:rPr>
        <w:t xml:space="preserve">Gilman, E., D. Kobayashi, T. </w:t>
      </w:r>
      <w:proofErr w:type="spellStart"/>
      <w:r w:rsidRPr="004731E2">
        <w:rPr>
          <w:szCs w:val="24"/>
        </w:rPr>
        <w:t>Swenarton</w:t>
      </w:r>
      <w:proofErr w:type="spellEnd"/>
      <w:r w:rsidRPr="004731E2">
        <w:rPr>
          <w:szCs w:val="24"/>
        </w:rPr>
        <w:t xml:space="preserve">, N. Brothers, P. Dalzell and </w:t>
      </w:r>
      <w:proofErr w:type="spellStart"/>
      <w:r w:rsidRPr="004731E2">
        <w:rPr>
          <w:szCs w:val="24"/>
        </w:rPr>
        <w:t>Kinan</w:t>
      </w:r>
      <w:proofErr w:type="spellEnd"/>
      <w:r w:rsidRPr="004731E2">
        <w:rPr>
          <w:szCs w:val="24"/>
        </w:rPr>
        <w:t xml:space="preserve">-Kelly, I. 2007. Reducing sea turtle interactions in the Hawaii-based longline swordfish fishery. Biological Conservation 139(1–2): 19-28. </w:t>
      </w:r>
    </w:p>
    <w:p w:rsidR="004731E2" w:rsidRPr="004731E2" w:rsidRDefault="004731E2" w:rsidP="004731E2">
      <w:pPr>
        <w:pStyle w:val="Literature"/>
        <w:rPr>
          <w:szCs w:val="24"/>
        </w:rPr>
      </w:pPr>
      <w:r w:rsidRPr="004731E2">
        <w:rPr>
          <w:szCs w:val="24"/>
        </w:rPr>
        <w:t>ISC BILLWG. 2009. Report of the billfish working group workshop (Annex 7). International Scientific Committee for Tuna and Tuna-like Species in the North Pacific Ocean 19-26 May 2009. Busan, Korea.</w:t>
      </w:r>
    </w:p>
    <w:p w:rsidR="004731E2" w:rsidRPr="004731E2" w:rsidRDefault="004731E2" w:rsidP="004731E2">
      <w:pPr>
        <w:pStyle w:val="Literature"/>
        <w:rPr>
          <w:szCs w:val="24"/>
        </w:rPr>
      </w:pPr>
      <w:r w:rsidRPr="004731E2">
        <w:rPr>
          <w:szCs w:val="24"/>
        </w:rPr>
        <w:t>ISC BILLWG. 2014. North Pacific Swordfish (</w:t>
      </w:r>
      <w:proofErr w:type="spellStart"/>
      <w:r w:rsidRPr="004731E2">
        <w:rPr>
          <w:i/>
          <w:szCs w:val="24"/>
        </w:rPr>
        <w:t>Xiphiaus</w:t>
      </w:r>
      <w:proofErr w:type="spellEnd"/>
      <w:r w:rsidRPr="004731E2">
        <w:rPr>
          <w:i/>
          <w:szCs w:val="24"/>
        </w:rPr>
        <w:t xml:space="preserve"> gladius</w:t>
      </w:r>
      <w:r w:rsidRPr="004731E2">
        <w:rPr>
          <w:szCs w:val="24"/>
        </w:rPr>
        <w:t>) Stock Assessment in 2014. International Scientific Committee for Tuna and Tuna-like Species in the North Pacific Ocean 16-22 July 2014. Taipei, Chinese-Taipei.</w:t>
      </w:r>
    </w:p>
    <w:p w:rsidR="004731E2" w:rsidRPr="004731E2" w:rsidRDefault="004731E2" w:rsidP="004731E2">
      <w:pPr>
        <w:pStyle w:val="Literature"/>
        <w:rPr>
          <w:szCs w:val="24"/>
        </w:rPr>
      </w:pPr>
      <w:r w:rsidRPr="004731E2">
        <w:rPr>
          <w:szCs w:val="24"/>
        </w:rPr>
        <w:t>ISC BILLWG. 2019. Stock Assessment for Swordfish (</w:t>
      </w:r>
      <w:proofErr w:type="spellStart"/>
      <w:r w:rsidRPr="004731E2">
        <w:rPr>
          <w:i/>
          <w:szCs w:val="24"/>
        </w:rPr>
        <w:t>Xiphias</w:t>
      </w:r>
      <w:proofErr w:type="spellEnd"/>
      <w:r w:rsidRPr="004731E2">
        <w:rPr>
          <w:i/>
          <w:szCs w:val="24"/>
        </w:rPr>
        <w:t xml:space="preserve"> gladius</w:t>
      </w:r>
      <w:r w:rsidRPr="004731E2">
        <w:rPr>
          <w:szCs w:val="24"/>
        </w:rPr>
        <w:t xml:space="preserve">) in the </w:t>
      </w:r>
      <w:proofErr w:type="spellStart"/>
      <w:r w:rsidRPr="004731E2">
        <w:rPr>
          <w:szCs w:val="24"/>
        </w:rPr>
        <w:t>Wetern</w:t>
      </w:r>
      <w:proofErr w:type="spellEnd"/>
      <w:r w:rsidRPr="004731E2">
        <w:rPr>
          <w:szCs w:val="24"/>
        </w:rPr>
        <w:t xml:space="preserve"> and Central North Pacific Ocean through 2016. International Scientific Committee for Tuna and Tuna-like Species in the North Pacific Ocean 11-16 July 2018. Yeosu, Republic of Korea.</w:t>
      </w:r>
    </w:p>
    <w:p w:rsidR="004731E2" w:rsidRPr="004731E2" w:rsidRDefault="004731E2" w:rsidP="004731E2">
      <w:pPr>
        <w:pStyle w:val="Literature"/>
        <w:rPr>
          <w:szCs w:val="24"/>
        </w:rPr>
      </w:pPr>
      <w:r w:rsidRPr="004731E2">
        <w:rPr>
          <w:szCs w:val="24"/>
        </w:rPr>
        <w:t>Ito, R.Y. and Childers, J. 2018. US Swordfish Fisheries in the North Pacific Ocean. ISC/18/BILLWG-01/01.</w:t>
      </w:r>
    </w:p>
    <w:p w:rsidR="004731E2" w:rsidRPr="004731E2" w:rsidRDefault="004731E2" w:rsidP="004731E2">
      <w:pPr>
        <w:pStyle w:val="Literature"/>
        <w:rPr>
          <w:szCs w:val="24"/>
        </w:rPr>
      </w:pPr>
      <w:r w:rsidRPr="004731E2">
        <w:rPr>
          <w:szCs w:val="24"/>
        </w:rPr>
        <w:t xml:space="preserve">Ito, R.Y. 2022. </w:t>
      </w:r>
      <w:r w:rsidRPr="004731E2">
        <w:rPr>
          <w:szCs w:val="24"/>
          <w:highlight w:val="yellow"/>
        </w:rPr>
        <w:t>US Swordfish Fisheries in the North Pacific Ocean.</w:t>
      </w:r>
    </w:p>
    <w:p w:rsidR="004731E2" w:rsidRPr="004731E2" w:rsidRDefault="004731E2" w:rsidP="004731E2">
      <w:pPr>
        <w:pStyle w:val="Literature"/>
        <w:rPr>
          <w:szCs w:val="24"/>
        </w:rPr>
      </w:pPr>
      <w:proofErr w:type="spellStart"/>
      <w:r w:rsidRPr="004731E2">
        <w:rPr>
          <w:szCs w:val="24"/>
        </w:rPr>
        <w:t>Minte</w:t>
      </w:r>
      <w:proofErr w:type="spellEnd"/>
      <w:r w:rsidRPr="004731E2">
        <w:rPr>
          <w:szCs w:val="24"/>
        </w:rPr>
        <w:t xml:space="preserve">-Vera, C.V., M.N. Maunder, H. Xu, C.E. </w:t>
      </w:r>
      <w:proofErr w:type="spellStart"/>
      <w:r w:rsidRPr="004731E2">
        <w:rPr>
          <w:szCs w:val="24"/>
        </w:rPr>
        <w:t>Lennert</w:t>
      </w:r>
      <w:proofErr w:type="spellEnd"/>
      <w:r w:rsidRPr="004731E2">
        <w:rPr>
          <w:szCs w:val="24"/>
        </w:rPr>
        <w:t>-Cody, J.L. Valero, and Aires-da-</w:t>
      </w:r>
      <w:proofErr w:type="spellStart"/>
      <w:r w:rsidRPr="004731E2">
        <w:rPr>
          <w:szCs w:val="24"/>
        </w:rPr>
        <w:t>silva</w:t>
      </w:r>
      <w:proofErr w:type="spellEnd"/>
      <w:r w:rsidRPr="004731E2">
        <w:rPr>
          <w:szCs w:val="24"/>
        </w:rPr>
        <w:t>, A. 2022. South EPO swordfish benchmark assessment: progress report. Inter-American Tropical Tuna Commission Scientific Advisory Committee Meeting. 16-20 May, 2022. La Jolla, California, USA. SAC-13-09. 3 pp.</w:t>
      </w:r>
    </w:p>
    <w:p w:rsidR="004731E2" w:rsidRPr="004731E2" w:rsidRDefault="004731E2" w:rsidP="004731E2">
      <w:pPr>
        <w:pStyle w:val="Literature"/>
        <w:rPr>
          <w:szCs w:val="24"/>
        </w:rPr>
      </w:pPr>
      <w:r w:rsidRPr="004731E2">
        <w:rPr>
          <w:szCs w:val="24"/>
        </w:rPr>
        <w:lastRenderedPageBreak/>
        <w:t>NMFS. 2022. Hawaii longline fishery logbook statistics -non-confidential summary tables. Available online at </w:t>
      </w:r>
      <w:hyperlink r:id="rId13" w:tgtFrame="_blank" w:tooltip="Link to external resource: http://www.pifsc.noaa.gov/fmb/reports.php" w:history="1">
        <w:r w:rsidRPr="004731E2">
          <w:rPr>
            <w:rStyle w:val="Hyperlink"/>
            <w:szCs w:val="24"/>
          </w:rPr>
          <w:t>http://www.pifsc.noaa.gov/fmb/reports.php</w:t>
        </w:r>
      </w:hyperlink>
      <w:r w:rsidRPr="004731E2">
        <w:rPr>
          <w:szCs w:val="24"/>
        </w:rPr>
        <w:t>, accessed 1 October 2022. National Marine Fisheries Service, Pacific Islands Fisheries Science Center, Honolulu.</w:t>
      </w:r>
    </w:p>
    <w:p w:rsidR="004731E2" w:rsidRPr="004731E2" w:rsidRDefault="004731E2" w:rsidP="004731E2">
      <w:pPr>
        <w:pStyle w:val="Literature"/>
        <w:rPr>
          <w:szCs w:val="24"/>
        </w:rPr>
      </w:pPr>
      <w:r w:rsidRPr="004731E2">
        <w:rPr>
          <w:szCs w:val="24"/>
        </w:rPr>
        <w:t xml:space="preserve">NOAA NCDC 2022. Spatially and temporally large-scale anomalies that influence the variability of the atmospheric circulation. Online Database </w:t>
      </w:r>
      <w:hyperlink r:id="rId14" w:history="1">
        <w:r w:rsidRPr="004731E2">
          <w:rPr>
            <w:rStyle w:val="Hyperlink"/>
            <w:szCs w:val="24"/>
          </w:rPr>
          <w:t>https://www.ncdc.noaa.gov/teleconnections/</w:t>
        </w:r>
      </w:hyperlink>
      <w:r w:rsidRPr="004731E2">
        <w:rPr>
          <w:szCs w:val="24"/>
        </w:rPr>
        <w:t xml:space="preserve"> Accessed 05 September 2022.</w:t>
      </w:r>
    </w:p>
    <w:p w:rsidR="004731E2" w:rsidRPr="004731E2" w:rsidRDefault="004731E2" w:rsidP="004731E2">
      <w:pPr>
        <w:pStyle w:val="Literature"/>
        <w:rPr>
          <w:szCs w:val="24"/>
        </w:rPr>
      </w:pPr>
      <w:r w:rsidRPr="004731E2">
        <w:rPr>
          <w:szCs w:val="24"/>
        </w:rPr>
        <w:t xml:space="preserve">Pacific Islands Fisheries Science Center (PIFSC) </w:t>
      </w:r>
      <w:proofErr w:type="spellStart"/>
      <w:r w:rsidRPr="004731E2">
        <w:rPr>
          <w:szCs w:val="24"/>
        </w:rPr>
        <w:t>OceanWatch</w:t>
      </w:r>
      <w:proofErr w:type="spellEnd"/>
      <w:r w:rsidRPr="004731E2">
        <w:rPr>
          <w:szCs w:val="24"/>
        </w:rPr>
        <w:t xml:space="preserve">. (2022) Central Pacific Node. </w:t>
      </w:r>
      <w:hyperlink r:id="rId15" w:history="1">
        <w:r w:rsidRPr="004731E2">
          <w:rPr>
            <w:rStyle w:val="Hyperlink"/>
            <w:szCs w:val="24"/>
          </w:rPr>
          <w:t>http://pifsc-oceanwatch.irc.noaa.gov/</w:t>
        </w:r>
      </w:hyperlink>
      <w:r w:rsidRPr="004731E2">
        <w:rPr>
          <w:szCs w:val="24"/>
        </w:rPr>
        <w:t xml:space="preserve"> Accessed: 05 September 2022.</w:t>
      </w:r>
    </w:p>
    <w:p w:rsidR="004731E2" w:rsidRPr="004731E2" w:rsidRDefault="004731E2" w:rsidP="004731E2">
      <w:pPr>
        <w:pStyle w:val="Literature"/>
        <w:rPr>
          <w:szCs w:val="24"/>
        </w:rPr>
      </w:pPr>
      <w:r w:rsidRPr="004731E2">
        <w:rPr>
          <w:szCs w:val="24"/>
        </w:rPr>
        <w:t>Pacific Islands Region Office (PIRO). 2017. Hawaii Longline Observer Program Observer Field Manual. Version LM.17.02. National Oceanic and Atmospheric Administration, Pacific Islands Region, Honolulu, Hawai‛i.</w:t>
      </w:r>
    </w:p>
    <w:p w:rsidR="004731E2" w:rsidRPr="004731E2" w:rsidRDefault="004731E2" w:rsidP="004731E2">
      <w:pPr>
        <w:pStyle w:val="Literature"/>
        <w:rPr>
          <w:szCs w:val="24"/>
        </w:rPr>
      </w:pPr>
      <w:r w:rsidRPr="004731E2">
        <w:rPr>
          <w:szCs w:val="24"/>
        </w:rPr>
        <w:t>Sculley, M. (2019). Standardization of the Striped Marlin (</w:t>
      </w:r>
      <w:proofErr w:type="spellStart"/>
      <w:r w:rsidRPr="004731E2">
        <w:rPr>
          <w:szCs w:val="24"/>
        </w:rPr>
        <w:t>Kajikia</w:t>
      </w:r>
      <w:proofErr w:type="spellEnd"/>
      <w:r w:rsidRPr="004731E2">
        <w:rPr>
          <w:szCs w:val="24"/>
        </w:rPr>
        <w:t xml:space="preserve"> </w:t>
      </w:r>
      <w:proofErr w:type="spellStart"/>
      <w:r w:rsidRPr="004731E2">
        <w:rPr>
          <w:szCs w:val="24"/>
        </w:rPr>
        <w:t>audax</w:t>
      </w:r>
      <w:proofErr w:type="spellEnd"/>
      <w:r w:rsidRPr="004731E2">
        <w:rPr>
          <w:szCs w:val="24"/>
        </w:rPr>
        <w:t>) Catch per Unit Effort Data Caught by the Hawaii-based Longline Fishery from 1994-2017 Using Generalized Linear Models. ISC/19/BILLWG-01/06.</w:t>
      </w:r>
    </w:p>
    <w:p w:rsidR="004731E2" w:rsidRPr="004731E2" w:rsidRDefault="004731E2" w:rsidP="004731E2">
      <w:pPr>
        <w:pStyle w:val="Literature"/>
        <w:rPr>
          <w:szCs w:val="24"/>
        </w:rPr>
      </w:pPr>
      <w:r w:rsidRPr="004731E2">
        <w:rPr>
          <w:szCs w:val="24"/>
        </w:rPr>
        <w:t xml:space="preserve">U.S. Naval Observatory. 2017. Fraction of the Moon Illuminated at Midnight Hawaii-Aleutian Standard Time. </w:t>
      </w:r>
      <w:hyperlink r:id="rId16" w:history="1">
        <w:r w:rsidRPr="004731E2">
          <w:rPr>
            <w:rStyle w:val="Hyperlink"/>
            <w:szCs w:val="24"/>
          </w:rPr>
          <w:t>http://aa.usno.navy.mil/data/docs/MoonFraction.php</w:t>
        </w:r>
      </w:hyperlink>
      <w:r w:rsidRPr="004731E2">
        <w:rPr>
          <w:rStyle w:val="Hyperlink"/>
          <w:szCs w:val="24"/>
        </w:rPr>
        <w:t xml:space="preserve"> </w:t>
      </w:r>
      <w:r w:rsidRPr="004731E2">
        <w:rPr>
          <w:szCs w:val="24"/>
        </w:rPr>
        <w:t>Accessed 10 October 2017.</w:t>
      </w:r>
    </w:p>
    <w:p w:rsidR="004731E2" w:rsidRPr="004731E2" w:rsidRDefault="004731E2" w:rsidP="004731E2">
      <w:pPr>
        <w:pStyle w:val="Literature"/>
        <w:rPr>
          <w:szCs w:val="24"/>
        </w:rPr>
      </w:pPr>
      <w:r w:rsidRPr="004731E2">
        <w:rPr>
          <w:szCs w:val="24"/>
        </w:rPr>
        <w:t>.</w:t>
      </w:r>
    </w:p>
    <w:p w:rsidR="004731E2" w:rsidRPr="004731E2" w:rsidRDefault="004731E2" w:rsidP="004731E2">
      <w:pPr>
        <w:pStyle w:val="Literature"/>
        <w:rPr>
          <w:rStyle w:val="Hyperlink"/>
          <w:szCs w:val="24"/>
        </w:rPr>
        <w:sectPr w:rsidR="004731E2" w:rsidRPr="004731E2" w:rsidSect="00A95B9F">
          <w:footerReference w:type="default" r:id="rId17"/>
          <w:pgSz w:w="12240" w:h="15840"/>
          <w:pgMar w:top="1440" w:right="1440" w:bottom="1440" w:left="1440" w:header="720" w:footer="720" w:gutter="0"/>
          <w:cols w:space="720"/>
          <w:docGrid w:linePitch="360"/>
        </w:sectPr>
      </w:pPr>
    </w:p>
    <w:p w:rsidR="004731E2" w:rsidRPr="004731E2" w:rsidRDefault="004731E2" w:rsidP="004731E2">
      <w:pPr>
        <w:pStyle w:val="Heading1"/>
        <w:rPr>
          <w:rStyle w:val="IntenseEmphasis"/>
          <w:b/>
          <w:bCs w:val="0"/>
          <w:i w:val="0"/>
          <w:iCs w:val="0"/>
          <w:color w:val="auto"/>
        </w:rPr>
      </w:pPr>
      <w:r w:rsidRPr="004731E2">
        <w:rPr>
          <w:rStyle w:val="IntenseEmphasis"/>
          <w:b/>
          <w:bCs w:val="0"/>
          <w:i w:val="0"/>
          <w:iCs w:val="0"/>
          <w:color w:val="auto"/>
        </w:rPr>
        <w:lastRenderedPageBreak/>
        <w:t>Tables</w:t>
      </w:r>
    </w:p>
    <w:p w:rsidR="004731E2" w:rsidRPr="004731E2" w:rsidRDefault="004731E2" w:rsidP="004731E2">
      <w:pPr>
        <w:pStyle w:val="Heading1"/>
      </w:pPr>
      <w:r w:rsidRPr="004731E2">
        <w:t>Figures</w:t>
      </w:r>
    </w:p>
    <w:p w:rsidR="00594861" w:rsidRPr="004731E2" w:rsidRDefault="00594861" w:rsidP="004731E2">
      <w:pPr>
        <w:pStyle w:val="Heading1"/>
        <w:rPr>
          <w:i/>
        </w:rPr>
      </w:pPr>
    </w:p>
    <w:sectPr w:rsidR="00594861" w:rsidRPr="004731E2" w:rsidSect="00A95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3A4" w:rsidRDefault="001A13A4" w:rsidP="00326771">
      <w:r>
        <w:separator/>
      </w:r>
    </w:p>
  </w:endnote>
  <w:endnote w:type="continuationSeparator" w:id="0">
    <w:p w:rsidR="001A13A4" w:rsidRDefault="001A13A4" w:rsidP="00326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Mincho">
    <w:altName w:val="Yu Gothic UI"/>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51539678"/>
      <w:docPartObj>
        <w:docPartGallery w:val="Page Numbers (Bottom of Page)"/>
        <w:docPartUnique/>
      </w:docPartObj>
    </w:sdtPr>
    <w:sdtEndPr>
      <w:rPr>
        <w:rStyle w:val="PageNumber"/>
      </w:rPr>
    </w:sdtEndPr>
    <w:sdtContent>
      <w:p w:rsidR="00272E18" w:rsidRDefault="00272E18" w:rsidP="00272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72E18" w:rsidRDefault="00272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E18" w:rsidRPr="001F0D21" w:rsidRDefault="00272E18" w:rsidP="009B0DA5">
    <w:pPr>
      <w:rPr>
        <w:rFonts w:ascii="Cambria" w:hAnsi="Cambria" w:cs="Times New Roman"/>
        <w:color w:val="000000" w:themeColor="text1"/>
        <w:sz w:val="20"/>
        <w:szCs w:val="20"/>
      </w:rPr>
    </w:pPr>
    <w:r>
      <w:rPr>
        <w:rFonts w:ascii="Cambria" w:hAnsi="Cambria" w:cs="Times New Roman"/>
        <w:color w:val="000000" w:themeColor="text1"/>
        <w:sz w:val="20"/>
        <w:szCs w:val="20"/>
      </w:rPr>
      <w:t>_____________________________________</w:t>
    </w:r>
  </w:p>
  <w:p w:rsidR="00272E18" w:rsidRPr="000A5335" w:rsidRDefault="00272E18" w:rsidP="003115A9">
    <w:pPr>
      <w:rPr>
        <w:rFonts w:ascii="Cambria" w:hAnsi="Cambria" w:cs="Times New Roman"/>
        <w:color w:val="000000" w:themeColor="text1"/>
        <w:sz w:val="20"/>
        <w:szCs w:val="20"/>
      </w:rPr>
    </w:pPr>
    <w:r w:rsidRPr="003115A9">
      <w:rPr>
        <w:rFonts w:ascii="Cambria" w:hAnsi="Cambria" w:cs="Times New Roman"/>
        <w:color w:val="000000" w:themeColor="text1"/>
        <w:sz w:val="20"/>
        <w:szCs w:val="20"/>
      </w:rPr>
      <w:t xml:space="preserve">This working paper was submitted to the ISC Billfish Working Group Data Preparatory Meeting, </w:t>
    </w:r>
    <w:r w:rsidR="004731E2">
      <w:rPr>
        <w:rFonts w:ascii="Cambria" w:hAnsi="Cambria" w:cs="Times New Roman"/>
        <w:color w:val="000000" w:themeColor="text1"/>
        <w:sz w:val="20"/>
        <w:szCs w:val="20"/>
      </w:rPr>
      <w:t>28 November – 5 December 2022</w:t>
    </w:r>
    <w:r w:rsidRPr="003115A9">
      <w:rPr>
        <w:rFonts w:ascii="Cambria" w:hAnsi="Cambria" w:cs="Times New Roman"/>
        <w:color w:val="000000" w:themeColor="text1"/>
        <w:sz w:val="20"/>
        <w:szCs w:val="20"/>
      </w:rPr>
      <w:t xml:space="preserve"> held by webinar.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62541881"/>
      <w:docPartObj>
        <w:docPartGallery w:val="Page Numbers (Bottom of Page)"/>
        <w:docPartUnique/>
      </w:docPartObj>
    </w:sdtPr>
    <w:sdtEndPr>
      <w:rPr>
        <w:rStyle w:val="PageNumber"/>
      </w:rPr>
    </w:sdtEndPr>
    <w:sdtContent>
      <w:p w:rsidR="00272E18" w:rsidRDefault="00272E18" w:rsidP="00272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72E18" w:rsidRDefault="00272E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623824"/>
      <w:docPartObj>
        <w:docPartGallery w:val="Page Numbers (Bottom of Page)"/>
        <w:docPartUnique/>
      </w:docPartObj>
    </w:sdtPr>
    <w:sdtEndPr>
      <w:rPr>
        <w:noProof/>
      </w:rPr>
    </w:sdtEndPr>
    <w:sdtContent>
      <w:p w:rsidR="004731E2" w:rsidRDefault="004731E2">
        <w:pPr>
          <w:pStyle w:val="Footer"/>
          <w:jc w:val="right"/>
        </w:pPr>
        <w:r>
          <w:fldChar w:fldCharType="begin"/>
        </w:r>
        <w:r>
          <w:instrText xml:space="preserve"> PAGE   \* MERGEFORMAT </w:instrText>
        </w:r>
        <w:r>
          <w:fldChar w:fldCharType="separate"/>
        </w:r>
        <w:r w:rsidR="00E63F15">
          <w:rPr>
            <w:noProof/>
          </w:rPr>
          <w:t>6</w:t>
        </w:r>
        <w:r>
          <w:rPr>
            <w:noProof/>
          </w:rPr>
          <w:fldChar w:fldCharType="end"/>
        </w:r>
      </w:p>
    </w:sdtContent>
  </w:sdt>
  <w:p w:rsidR="004731E2" w:rsidRPr="001F0D21" w:rsidRDefault="004731E2" w:rsidP="009B0DA5">
    <w:pPr>
      <w:rPr>
        <w:rFonts w:ascii="Cambria" w:hAnsi="Cambria" w:cs="Times New Roman"/>
        <w:color w:val="000000" w:themeColor="tex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3A4" w:rsidRDefault="001A13A4" w:rsidP="00326771">
      <w:r>
        <w:separator/>
      </w:r>
    </w:p>
  </w:footnote>
  <w:footnote w:type="continuationSeparator" w:id="0">
    <w:p w:rsidR="001A13A4" w:rsidRDefault="001A13A4" w:rsidP="00326771">
      <w:r>
        <w:continuationSeparator/>
      </w:r>
    </w:p>
  </w:footnote>
  <w:footnote w:id="1">
    <w:p w:rsidR="004731E2" w:rsidRDefault="004731E2" w:rsidP="004731E2">
      <w:pPr>
        <w:pStyle w:val="FootnoteText"/>
      </w:pPr>
      <w:r>
        <w:rPr>
          <w:rStyle w:val="FootnoteReference"/>
        </w:rPr>
        <w:footnoteRef/>
      </w:r>
      <w:r>
        <w:t xml:space="preserve"> </w:t>
      </w:r>
      <w:r w:rsidRPr="009511CE">
        <w:rPr>
          <w:iCs/>
          <w:szCs w:val="24"/>
        </w:rPr>
        <w:t>http://www.esrl.noaa.gov/psd/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E18" w:rsidRPr="00326771" w:rsidRDefault="00272E18" w:rsidP="00326771">
    <w:pPr>
      <w:pStyle w:val="Header"/>
      <w:jc w:val="right"/>
      <w:rPr>
        <w:rFonts w:ascii="Cambria" w:hAnsi="Cambria" w:cs="Times New Roman"/>
        <w:b/>
        <w:bCs/>
        <w:sz w:val="24"/>
      </w:rPr>
    </w:pPr>
    <w:r w:rsidRPr="00326771">
      <w:rPr>
        <w:rFonts w:ascii="Cambria" w:hAnsi="Cambria" w:cs="Times New Roman"/>
        <w:b/>
        <w:bCs/>
        <w:sz w:val="24"/>
      </w:rPr>
      <w:t>ISC/2</w:t>
    </w:r>
    <w:r w:rsidR="004731E2">
      <w:rPr>
        <w:rFonts w:ascii="Cambria" w:hAnsi="Cambria" w:cs="Times New Roman"/>
        <w:b/>
        <w:bCs/>
        <w:sz w:val="24"/>
      </w:rPr>
      <w:t>3</w:t>
    </w:r>
    <w:r w:rsidRPr="00326771">
      <w:rPr>
        <w:rFonts w:ascii="Cambria" w:hAnsi="Cambria" w:cs="Times New Roman"/>
        <w:b/>
        <w:bCs/>
        <w:sz w:val="24"/>
      </w:rPr>
      <w:t>/BILLWG-0</w:t>
    </w:r>
    <w:r w:rsidR="004731E2">
      <w:rPr>
        <w:rFonts w:ascii="Cambria" w:hAnsi="Cambria" w:cs="Times New Roman"/>
        <w:b/>
        <w:bCs/>
        <w:sz w:val="24"/>
      </w:rPr>
      <w:t>1</w:t>
    </w:r>
    <w:r w:rsidRPr="00326771">
      <w:rPr>
        <w:rFonts w:ascii="Cambria" w:hAnsi="Cambria" w:cs="Times New Roman"/>
        <w:b/>
        <w:bCs/>
        <w:sz w:val="24"/>
      </w:rPr>
      <w:t>/</w:t>
    </w:r>
    <w:r w:rsidRPr="00326771">
      <w:rPr>
        <w:rFonts w:ascii="Cambria" w:hAnsi="Cambria" w:cs="Times New Roman"/>
        <w:b/>
        <w:bCs/>
        <w:sz w:val="24"/>
        <w:highlight w:val="yellow"/>
      </w:rPr>
      <w:t>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E18" w:rsidRPr="00326771" w:rsidRDefault="00272E18" w:rsidP="00DD2123">
    <w:pPr>
      <w:pStyle w:val="Header"/>
      <w:jc w:val="right"/>
      <w:rPr>
        <w:rFonts w:ascii="Cambria" w:hAnsi="Cambria" w:cs="Times New Roman"/>
        <w:b/>
        <w:bCs/>
        <w:sz w:val="24"/>
      </w:rPr>
    </w:pPr>
    <w:r w:rsidRPr="00326771">
      <w:rPr>
        <w:rFonts w:ascii="Cambria" w:hAnsi="Cambria" w:cs="Times New Roman"/>
        <w:b/>
        <w:bCs/>
        <w:sz w:val="24"/>
      </w:rPr>
      <w:t>ISC/20/BILLWG-0</w:t>
    </w:r>
    <w:r>
      <w:rPr>
        <w:rFonts w:ascii="Cambria" w:hAnsi="Cambria" w:cs="Times New Roman"/>
        <w:b/>
        <w:bCs/>
        <w:sz w:val="24"/>
      </w:rPr>
      <w:t>3</w:t>
    </w:r>
    <w:r w:rsidRPr="00326771">
      <w:rPr>
        <w:rFonts w:ascii="Cambria" w:hAnsi="Cambria" w:cs="Times New Roman"/>
        <w:b/>
        <w:bCs/>
        <w:sz w:val="24"/>
      </w:rPr>
      <w:t>/</w:t>
    </w:r>
    <w:r w:rsidRPr="00326771">
      <w:rPr>
        <w:rFonts w:ascii="Cambria" w:hAnsi="Cambria" w:cs="Times New Roman"/>
        <w:b/>
        <w:bCs/>
        <w:sz w:val="24"/>
        <w:highlight w:val="yellow"/>
      </w:rPr>
      <w:t>XX</w:t>
    </w:r>
  </w:p>
  <w:p w:rsidR="00272E18" w:rsidRDefault="00272E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xNzIysDAwNjM2NjRT0lEKTi0uzszPAykwrAUA5jZOCiwAAAA="/>
  </w:docVars>
  <w:rsids>
    <w:rsidRoot w:val="00326771"/>
    <w:rsid w:val="000648E9"/>
    <w:rsid w:val="000720D7"/>
    <w:rsid w:val="00087056"/>
    <w:rsid w:val="000A5335"/>
    <w:rsid w:val="00151F68"/>
    <w:rsid w:val="001947AF"/>
    <w:rsid w:val="001A13A4"/>
    <w:rsid w:val="001D23B6"/>
    <w:rsid w:val="00255B20"/>
    <w:rsid w:val="00272E18"/>
    <w:rsid w:val="002817E1"/>
    <w:rsid w:val="00295C1E"/>
    <w:rsid w:val="002C34D2"/>
    <w:rsid w:val="002E50AE"/>
    <w:rsid w:val="003115A9"/>
    <w:rsid w:val="0031255D"/>
    <w:rsid w:val="00326771"/>
    <w:rsid w:val="00384F7C"/>
    <w:rsid w:val="0046394E"/>
    <w:rsid w:val="004731E2"/>
    <w:rsid w:val="005542C4"/>
    <w:rsid w:val="0059296B"/>
    <w:rsid w:val="00594861"/>
    <w:rsid w:val="00610699"/>
    <w:rsid w:val="00626342"/>
    <w:rsid w:val="00697689"/>
    <w:rsid w:val="006E73F8"/>
    <w:rsid w:val="007B2D20"/>
    <w:rsid w:val="007C3A4A"/>
    <w:rsid w:val="007D7E2D"/>
    <w:rsid w:val="007F2BFB"/>
    <w:rsid w:val="0087639A"/>
    <w:rsid w:val="008A4830"/>
    <w:rsid w:val="008B0556"/>
    <w:rsid w:val="009666E0"/>
    <w:rsid w:val="009B0DA5"/>
    <w:rsid w:val="009C7F75"/>
    <w:rsid w:val="00A817FB"/>
    <w:rsid w:val="00A95830"/>
    <w:rsid w:val="00AA5956"/>
    <w:rsid w:val="00AE75FA"/>
    <w:rsid w:val="00B427E0"/>
    <w:rsid w:val="00B46AE3"/>
    <w:rsid w:val="00B505FB"/>
    <w:rsid w:val="00B73648"/>
    <w:rsid w:val="00B96A26"/>
    <w:rsid w:val="00BB3002"/>
    <w:rsid w:val="00C576D6"/>
    <w:rsid w:val="00CA2A32"/>
    <w:rsid w:val="00CC4693"/>
    <w:rsid w:val="00D260D6"/>
    <w:rsid w:val="00D517E4"/>
    <w:rsid w:val="00D945AB"/>
    <w:rsid w:val="00DD2123"/>
    <w:rsid w:val="00E63F15"/>
    <w:rsid w:val="00EB6480"/>
    <w:rsid w:val="00EE0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A8923C"/>
  <w15:chartTrackingRefBased/>
  <w15:docId w15:val="{D4072FD2-5247-E947-ACDD-F0EF3FE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BodyText"/>
    <w:link w:val="Heading1Char"/>
    <w:uiPriority w:val="9"/>
    <w:qFormat/>
    <w:rsid w:val="00EE0F0C"/>
    <w:pPr>
      <w:keepNext/>
      <w:widowControl/>
      <w:spacing w:before="240" w:after="240"/>
      <w:jc w:val="left"/>
      <w:outlineLvl w:val="0"/>
    </w:pPr>
    <w:rPr>
      <w:rFonts w:ascii="Times New Roman" w:eastAsia="Calibri" w:hAnsi="Times New Roman" w:cs="Times New Roman"/>
      <w:b/>
      <w:kern w:val="0"/>
      <w:sz w:val="24"/>
      <w:lang w:eastAsia="en-US"/>
    </w:rPr>
  </w:style>
  <w:style w:type="paragraph" w:styleId="Heading2">
    <w:name w:val="heading 2"/>
    <w:basedOn w:val="Normal"/>
    <w:next w:val="BodyText"/>
    <w:link w:val="Heading2Char"/>
    <w:uiPriority w:val="9"/>
    <w:unhideWhenUsed/>
    <w:qFormat/>
    <w:rsid w:val="00EE0F0C"/>
    <w:pPr>
      <w:keepNext/>
      <w:widowControl/>
      <w:spacing w:before="240" w:after="240"/>
      <w:jc w:val="left"/>
      <w:outlineLvl w:val="1"/>
    </w:pPr>
    <w:rPr>
      <w:rFonts w:ascii="Times New Roman" w:eastAsia="Calibri" w:hAnsi="Times New Roman" w:cs="Times New Roman"/>
      <w:b/>
      <w:i/>
      <w:kern w:val="0"/>
      <w:sz w:val="24"/>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771"/>
    <w:pPr>
      <w:tabs>
        <w:tab w:val="center" w:pos="4252"/>
        <w:tab w:val="right" w:pos="8504"/>
      </w:tabs>
      <w:snapToGrid w:val="0"/>
    </w:pPr>
  </w:style>
  <w:style w:type="character" w:customStyle="1" w:styleId="HeaderChar">
    <w:name w:val="Header Char"/>
    <w:basedOn w:val="DefaultParagraphFont"/>
    <w:link w:val="Header"/>
    <w:uiPriority w:val="99"/>
    <w:rsid w:val="00326771"/>
  </w:style>
  <w:style w:type="paragraph" w:styleId="Footer">
    <w:name w:val="footer"/>
    <w:basedOn w:val="Normal"/>
    <w:link w:val="FooterChar"/>
    <w:uiPriority w:val="99"/>
    <w:unhideWhenUsed/>
    <w:rsid w:val="00326771"/>
    <w:pPr>
      <w:tabs>
        <w:tab w:val="center" w:pos="4252"/>
        <w:tab w:val="right" w:pos="8504"/>
      </w:tabs>
      <w:snapToGrid w:val="0"/>
    </w:pPr>
  </w:style>
  <w:style w:type="character" w:customStyle="1" w:styleId="FooterChar">
    <w:name w:val="Footer Char"/>
    <w:basedOn w:val="DefaultParagraphFont"/>
    <w:link w:val="Footer"/>
    <w:uiPriority w:val="99"/>
    <w:rsid w:val="00326771"/>
  </w:style>
  <w:style w:type="character" w:styleId="PageNumber">
    <w:name w:val="page number"/>
    <w:basedOn w:val="DefaultParagraphFont"/>
    <w:uiPriority w:val="99"/>
    <w:semiHidden/>
    <w:unhideWhenUsed/>
    <w:rsid w:val="009B0DA5"/>
  </w:style>
  <w:style w:type="character" w:customStyle="1" w:styleId="Heading1Char">
    <w:name w:val="Heading 1 Char"/>
    <w:basedOn w:val="DefaultParagraphFont"/>
    <w:link w:val="Heading1"/>
    <w:uiPriority w:val="9"/>
    <w:rsid w:val="00EE0F0C"/>
    <w:rPr>
      <w:rFonts w:ascii="Times New Roman" w:eastAsia="Calibri" w:hAnsi="Times New Roman" w:cs="Times New Roman"/>
      <w:b/>
      <w:kern w:val="0"/>
      <w:sz w:val="24"/>
      <w:lang w:eastAsia="en-US"/>
    </w:rPr>
  </w:style>
  <w:style w:type="character" w:customStyle="1" w:styleId="Heading2Char">
    <w:name w:val="Heading 2 Char"/>
    <w:basedOn w:val="DefaultParagraphFont"/>
    <w:link w:val="Heading2"/>
    <w:uiPriority w:val="9"/>
    <w:rsid w:val="00EE0F0C"/>
    <w:rPr>
      <w:rFonts w:ascii="Times New Roman" w:eastAsia="Calibri" w:hAnsi="Times New Roman" w:cs="Times New Roman"/>
      <w:b/>
      <w:i/>
      <w:kern w:val="0"/>
      <w:sz w:val="24"/>
      <w:szCs w:val="22"/>
      <w:lang w:eastAsia="en-US"/>
    </w:rPr>
  </w:style>
  <w:style w:type="paragraph" w:styleId="FootnoteText">
    <w:name w:val="footnote text"/>
    <w:basedOn w:val="Normal"/>
    <w:link w:val="FootnoteTextChar"/>
    <w:uiPriority w:val="99"/>
    <w:semiHidden/>
    <w:unhideWhenUsed/>
    <w:rsid w:val="00EE0F0C"/>
    <w:pPr>
      <w:widowControl/>
      <w:jc w:val="left"/>
    </w:pPr>
    <w:rPr>
      <w:rFonts w:ascii="Times New Roman" w:eastAsia="Calibri" w:hAnsi="Times New Roman" w:cs="Times New Roman"/>
      <w:kern w:val="0"/>
      <w:sz w:val="20"/>
      <w:szCs w:val="20"/>
      <w:lang w:eastAsia="en-US"/>
    </w:rPr>
  </w:style>
  <w:style w:type="character" w:customStyle="1" w:styleId="FootnoteTextChar">
    <w:name w:val="Footnote Text Char"/>
    <w:basedOn w:val="DefaultParagraphFont"/>
    <w:link w:val="FootnoteText"/>
    <w:uiPriority w:val="99"/>
    <w:semiHidden/>
    <w:rsid w:val="00EE0F0C"/>
    <w:rPr>
      <w:rFonts w:ascii="Times New Roman" w:eastAsia="Calibri" w:hAnsi="Times New Roman" w:cs="Times New Roman"/>
      <w:kern w:val="0"/>
      <w:sz w:val="20"/>
      <w:szCs w:val="20"/>
      <w:lang w:eastAsia="en-US"/>
    </w:rPr>
  </w:style>
  <w:style w:type="character" w:styleId="FootnoteReference">
    <w:name w:val="footnote reference"/>
    <w:basedOn w:val="DefaultParagraphFont"/>
    <w:uiPriority w:val="99"/>
    <w:semiHidden/>
    <w:unhideWhenUsed/>
    <w:rsid w:val="00EE0F0C"/>
    <w:rPr>
      <w:vertAlign w:val="superscript"/>
    </w:rPr>
  </w:style>
  <w:style w:type="character" w:styleId="Hyperlink">
    <w:name w:val="Hyperlink"/>
    <w:uiPriority w:val="99"/>
    <w:unhideWhenUsed/>
    <w:rsid w:val="00EE0F0C"/>
    <w:rPr>
      <w:color w:val="0000FF"/>
      <w:u w:val="single"/>
    </w:rPr>
  </w:style>
  <w:style w:type="paragraph" w:customStyle="1" w:styleId="Literature">
    <w:name w:val="Literature"/>
    <w:basedOn w:val="Normal"/>
    <w:link w:val="LiteratureChar"/>
    <w:qFormat/>
    <w:rsid w:val="00EE0F0C"/>
    <w:pPr>
      <w:widowControl/>
      <w:spacing w:after="240"/>
      <w:ind w:left="720" w:hanging="720"/>
      <w:jc w:val="left"/>
    </w:pPr>
    <w:rPr>
      <w:rFonts w:ascii="Times New Roman" w:eastAsia="Calibri" w:hAnsi="Times New Roman" w:cs="Times New Roman"/>
      <w:kern w:val="0"/>
      <w:sz w:val="24"/>
      <w:szCs w:val="22"/>
      <w:lang w:eastAsia="en-US"/>
    </w:rPr>
  </w:style>
  <w:style w:type="character" w:customStyle="1" w:styleId="LiteratureChar">
    <w:name w:val="Literature Char"/>
    <w:basedOn w:val="DefaultParagraphFont"/>
    <w:link w:val="Literature"/>
    <w:rsid w:val="00EE0F0C"/>
    <w:rPr>
      <w:rFonts w:ascii="Times New Roman" w:eastAsia="Calibri" w:hAnsi="Times New Roman" w:cs="Times New Roman"/>
      <w:kern w:val="0"/>
      <w:sz w:val="24"/>
      <w:szCs w:val="22"/>
      <w:lang w:eastAsia="en-US"/>
    </w:rPr>
  </w:style>
  <w:style w:type="paragraph" w:styleId="BodyText">
    <w:name w:val="Body Text"/>
    <w:basedOn w:val="Normal"/>
    <w:link w:val="BodyTextChar"/>
    <w:uiPriority w:val="99"/>
    <w:semiHidden/>
    <w:unhideWhenUsed/>
    <w:rsid w:val="00EE0F0C"/>
    <w:pPr>
      <w:spacing w:after="120"/>
    </w:pPr>
  </w:style>
  <w:style w:type="character" w:customStyle="1" w:styleId="BodyTextChar">
    <w:name w:val="Body Text Char"/>
    <w:basedOn w:val="DefaultParagraphFont"/>
    <w:link w:val="BodyText"/>
    <w:uiPriority w:val="99"/>
    <w:semiHidden/>
    <w:rsid w:val="00EE0F0C"/>
  </w:style>
  <w:style w:type="paragraph" w:styleId="Caption">
    <w:name w:val="caption"/>
    <w:basedOn w:val="Normal"/>
    <w:next w:val="Normal"/>
    <w:uiPriority w:val="35"/>
    <w:unhideWhenUsed/>
    <w:qFormat/>
    <w:rsid w:val="00D517E4"/>
    <w:pPr>
      <w:spacing w:after="200"/>
    </w:pPr>
    <w:rPr>
      <w:i/>
      <w:iCs/>
      <w:color w:val="44546A" w:themeColor="text2"/>
      <w:sz w:val="18"/>
      <w:szCs w:val="18"/>
    </w:rPr>
  </w:style>
  <w:style w:type="table" w:customStyle="1" w:styleId="PlainTable21">
    <w:name w:val="Plain Table 21"/>
    <w:basedOn w:val="TableNormal"/>
    <w:uiPriority w:val="42"/>
    <w:rsid w:val="00B46AE3"/>
    <w:rPr>
      <w:rFonts w:eastAsiaTheme="minorHAnsi"/>
      <w:kern w:val="0"/>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B46AE3"/>
    <w:rPr>
      <w:rFonts w:ascii="Times New Roman" w:eastAsiaTheme="minorHAnsi" w:hAnsi="Times New Roman"/>
      <w:kern w:val="0"/>
      <w:sz w:val="24"/>
      <w:szCs w:val="22"/>
      <w:lang w:eastAsia="en-US"/>
    </w:rPr>
  </w:style>
  <w:style w:type="table" w:styleId="PlainTable1">
    <w:name w:val="Plain Table 1"/>
    <w:basedOn w:val="TableNormal"/>
    <w:uiPriority w:val="41"/>
    <w:rsid w:val="00272E18"/>
    <w:pPr>
      <w:jc w:val="right"/>
    </w:pPr>
    <w:rPr>
      <w:rFonts w:ascii="Times New Roman" w:eastAsia="Calibri" w:hAnsi="Times New Roman" w:cs="Times New Roman"/>
      <w:kern w:val="0"/>
      <w:sz w:val="24"/>
      <w:szCs w:val="20"/>
      <w:lang w:eastAsia="en-US"/>
    </w:rPr>
    <w:tblPr>
      <w:tblStyleRowBandSize w:val="1"/>
      <w:tblStyleColBandSize w:val="1"/>
      <w:jc w:val="center"/>
      <w:tblBorders>
        <w:top w:val="single" w:sz="4" w:space="0" w:color="auto"/>
        <w:bottom w:val="single" w:sz="4" w:space="0" w:color="auto"/>
      </w:tblBorders>
    </w:tblPr>
    <w:trPr>
      <w:jc w:val="center"/>
    </w:trPr>
    <w:tcPr>
      <w:vAlign w:val="center"/>
    </w:tcPr>
    <w:tblStylePr w:type="firstRow">
      <w:pPr>
        <w:jc w:val="center"/>
      </w:pPr>
      <w:rPr>
        <w:rFonts w:ascii="Times New Roman" w:hAnsi="Times New Roman"/>
        <w:b/>
        <w:bCs/>
        <w:sz w:val="24"/>
      </w:rPr>
      <w:tblPr/>
      <w:tcPr>
        <w:tcBorders>
          <w:top w:val="single" w:sz="4" w:space="0" w:color="auto"/>
          <w:left w:val="nil"/>
          <w:bottom w:val="single" w:sz="4" w:space="0" w:color="auto"/>
          <w:right w:val="nil"/>
          <w:insideH w:val="nil"/>
          <w:insideV w:val="nil"/>
        </w:tcBorders>
        <w:vAlign w:val="bottom"/>
      </w:tcPr>
    </w:tblStylePr>
    <w:tblStylePr w:type="lastRow">
      <w:rPr>
        <w:rFonts w:ascii="Times New Roman" w:hAnsi="Times New Roman"/>
        <w:b/>
        <w:bCs/>
        <w:sz w:val="24"/>
      </w:rPr>
      <w:tblPr/>
      <w:tcPr>
        <w:tcBorders>
          <w:top w:val="nil"/>
          <w:bottom w:val="single" w:sz="4" w:space="0" w:color="auto"/>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type="character" w:styleId="IntenseEmphasis">
    <w:name w:val="Intense Emphasis"/>
    <w:uiPriority w:val="21"/>
    <w:qFormat/>
    <w:rsid w:val="004731E2"/>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5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ifsc.noaa.gov/fmb/reports.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aa.usno.navy.mil/data/docs/MoonFraction.ph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pifsc-oceanwatch.irc.noaa.gov/"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ncdc.noaa.gov/teleconnection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68F4-3071-4CB3-A124-C53DCDE40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1630</Words>
  <Characters>9294</Characters>
  <Application>Microsoft Office Word</Application>
  <DocSecurity>0</DocSecurity>
  <Lines>77</Lines>
  <Paragraphs>21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井嶋　浩貴</dc:creator>
  <cp:keywords/>
  <dc:description/>
  <cp:lastModifiedBy>Michelle Sculley</cp:lastModifiedBy>
  <cp:revision>4</cp:revision>
  <dcterms:created xsi:type="dcterms:W3CDTF">2022-10-11T23:16:00Z</dcterms:created>
  <dcterms:modified xsi:type="dcterms:W3CDTF">2022-10-11T23:16:00Z</dcterms:modified>
</cp:coreProperties>
</file>