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2C27D" w14:textId="4EF2500E" w:rsidR="0062121A" w:rsidRPr="00C71C22" w:rsidRDefault="005220E5" w:rsidP="00C035DD">
      <w:pPr>
        <w:pStyle w:val="Title"/>
      </w:pPr>
      <w:r>
        <w:t>Standardization of the</w:t>
      </w:r>
      <w:r w:rsidR="00146061">
        <w:t xml:space="preserve"> Swordfish </w:t>
      </w:r>
      <w:r w:rsidR="00146061">
        <w:rPr>
          <w:i/>
        </w:rPr>
        <w:t>Xiphias gladius</w:t>
      </w:r>
      <w:r w:rsidR="00146061">
        <w:t xml:space="preserve"> Catch per Unit Effort Data Caught by the</w:t>
      </w:r>
      <w:r>
        <w:t xml:space="preserve"> Hawaii</w:t>
      </w:r>
      <w:r w:rsidR="00146061">
        <w:t>-based</w:t>
      </w:r>
      <w:r>
        <w:t xml:space="preserve"> Longline </w:t>
      </w:r>
      <w:r w:rsidR="00146061">
        <w:t>Fishery from 1994-2016 Using Generalized Linear Models</w:t>
      </w:r>
      <w:r w:rsidR="00345600">
        <w:rPr>
          <w:rStyle w:val="FootnoteReference"/>
        </w:rPr>
        <w:footnoteReference w:id="1"/>
      </w:r>
    </w:p>
    <w:p w14:paraId="646C176A" w14:textId="5B4C44FE" w:rsidR="0062121A" w:rsidRPr="00CA20E1" w:rsidRDefault="00146061" w:rsidP="00C035DD">
      <w:pPr>
        <w:pStyle w:val="Authors"/>
        <w:rPr>
          <w:vertAlign w:val="superscript"/>
        </w:rPr>
      </w:pPr>
      <w:r>
        <w:t>Sculley, Michelle</w:t>
      </w:r>
      <w:r w:rsidR="00127F44">
        <w:rPr>
          <w:vertAlign w:val="superscript"/>
        </w:rPr>
        <w:t>a</w:t>
      </w:r>
      <w:r w:rsidR="001353B0">
        <w:rPr>
          <w:vertAlign w:val="superscript"/>
        </w:rPr>
        <w:t xml:space="preserve"> </w:t>
      </w:r>
      <w:r w:rsidR="00CA20E1">
        <w:t>Yau, Annie</w:t>
      </w:r>
      <w:r w:rsidR="00127F44">
        <w:rPr>
          <w:vertAlign w:val="superscript"/>
        </w:rPr>
        <w:t>b</w:t>
      </w:r>
      <w:r w:rsidR="00CA20E1">
        <w:rPr>
          <w:vertAlign w:val="subscript"/>
        </w:rPr>
        <w:t xml:space="preserve"> </w:t>
      </w:r>
      <w:r w:rsidR="00CA20E1">
        <w:t>Kapur, Maia</w:t>
      </w:r>
      <w:r w:rsidR="00127F44">
        <w:rPr>
          <w:vertAlign w:val="superscript"/>
        </w:rPr>
        <w:t>a</w:t>
      </w:r>
    </w:p>
    <w:p w14:paraId="21CB2DD4" w14:textId="17FFAC20" w:rsidR="009A1E0F" w:rsidRPr="00C035DD" w:rsidRDefault="00127F44" w:rsidP="00C035DD">
      <w:pPr>
        <w:pStyle w:val="Affiliations"/>
      </w:pPr>
      <w:r>
        <w:t>a</w:t>
      </w:r>
      <w:r w:rsidR="003F3C36">
        <w:t xml:space="preserve"> </w:t>
      </w:r>
      <w:r w:rsidR="00966FC1" w:rsidRPr="003F3C36">
        <w:t xml:space="preserve">Joint Institute for Marine and Atmospheric Research, University of </w:t>
      </w:r>
      <w:r w:rsidR="00966FC1">
        <w:t>Hawaii</w:t>
      </w:r>
      <w:r w:rsidR="00966FC1" w:rsidRPr="00C035DD">
        <w:br/>
      </w:r>
      <w:r w:rsidR="00966FC1">
        <w:t xml:space="preserve">c/o </w:t>
      </w:r>
      <w:r w:rsidR="00966FC1" w:rsidRPr="00C035DD">
        <w:t>National Marine Fisheries Service</w:t>
      </w:r>
      <w:r w:rsidR="00966FC1" w:rsidRPr="00C035DD">
        <w:br/>
        <w:t>1845 Wasp Boulevard</w:t>
      </w:r>
      <w:r w:rsidR="00966FC1" w:rsidRPr="00C035DD">
        <w:br/>
        <w:t>Honolulu, HI 96818</w:t>
      </w:r>
      <w:r w:rsidR="00966FC1">
        <w:t xml:space="preserve"> </w:t>
      </w:r>
    </w:p>
    <w:p w14:paraId="0AA9DC36" w14:textId="467B1806" w:rsidR="00966FC1" w:rsidRPr="00C035DD" w:rsidRDefault="00127F44" w:rsidP="00966FC1">
      <w:pPr>
        <w:pStyle w:val="Affiliations"/>
      </w:pPr>
      <w:r>
        <w:t>b</w:t>
      </w:r>
      <w:r w:rsidR="003F3C36" w:rsidRPr="003F3C36">
        <w:t xml:space="preserve"> </w:t>
      </w:r>
      <w:r w:rsidR="00966FC1" w:rsidRPr="00C035DD">
        <w:t>Pacific Islands Fisheries Science Center</w:t>
      </w:r>
      <w:r w:rsidR="00966FC1" w:rsidRPr="00C035DD">
        <w:br/>
        <w:t>National Marine Fisheries Service</w:t>
      </w:r>
      <w:r w:rsidR="00966FC1" w:rsidRPr="00C035DD">
        <w:br/>
        <w:t>1845 Wasp Boulevard</w:t>
      </w:r>
      <w:r w:rsidR="00966FC1" w:rsidRPr="00C035DD">
        <w:br/>
        <w:t>Honolulu, HI 96818</w:t>
      </w:r>
    </w:p>
    <w:p w14:paraId="3171ADF4" w14:textId="77777777" w:rsidR="003F3C36" w:rsidRPr="0075067E" w:rsidRDefault="003F3C36" w:rsidP="0075067E">
      <w:pPr>
        <w:sectPr w:rsidR="003F3C36" w:rsidRPr="0075067E" w:rsidSect="000F4793">
          <w:footerReference w:type="even" r:id="rId8"/>
          <w:footerReference w:type="default" r:id="rId9"/>
          <w:footerReference w:type="first" r:id="rId10"/>
          <w:pgSz w:w="12240" w:h="15840"/>
          <w:pgMar w:top="1440" w:right="1440" w:bottom="1440" w:left="1440" w:header="720" w:footer="720" w:gutter="0"/>
          <w:cols w:space="720"/>
          <w:titlePg/>
          <w:docGrid w:linePitch="360"/>
        </w:sectPr>
      </w:pPr>
    </w:p>
    <w:p w14:paraId="712B352A" w14:textId="77777777" w:rsidR="009A1E0F" w:rsidRDefault="00A31E7F" w:rsidP="003F3C36">
      <w:pPr>
        <w:pStyle w:val="Heading1"/>
      </w:pPr>
      <w:r>
        <w:lastRenderedPageBreak/>
        <w:t>Abstract</w:t>
      </w:r>
    </w:p>
    <w:p w14:paraId="21A3900F" w14:textId="7798048E" w:rsidR="00A31E7F" w:rsidRDefault="00912D9E" w:rsidP="00A31E7F">
      <w:pPr>
        <w:pStyle w:val="BodyText"/>
        <w:rPr>
          <w:rStyle w:val="IntenseEmphasis"/>
          <w:b w:val="0"/>
          <w:i w:val="0"/>
          <w:color w:val="auto"/>
          <w:szCs w:val="24"/>
        </w:rPr>
      </w:pPr>
      <w:r>
        <w:rPr>
          <w:rStyle w:val="IntenseEmphasis"/>
          <w:b w:val="0"/>
          <w:i w:val="0"/>
          <w:color w:val="auto"/>
          <w:szCs w:val="24"/>
        </w:rPr>
        <w:t>The</w:t>
      </w:r>
      <w:r w:rsidR="00B624AD">
        <w:rPr>
          <w:rStyle w:val="IntenseEmphasis"/>
          <w:b w:val="0"/>
          <w:i w:val="0"/>
          <w:color w:val="auto"/>
          <w:szCs w:val="24"/>
        </w:rPr>
        <w:t xml:space="preserve"> swordfish</w:t>
      </w:r>
      <w:r w:rsidR="00034615">
        <w:rPr>
          <w:rStyle w:val="IntenseEmphasis"/>
          <w:b w:val="0"/>
          <w:i w:val="0"/>
          <w:color w:val="auto"/>
          <w:szCs w:val="24"/>
        </w:rPr>
        <w:t xml:space="preserve"> (</w:t>
      </w:r>
      <w:r w:rsidR="00034615" w:rsidRPr="00034615">
        <w:rPr>
          <w:rStyle w:val="IntenseEmphasis"/>
          <w:b w:val="0"/>
          <w:color w:val="auto"/>
          <w:szCs w:val="24"/>
        </w:rPr>
        <w:t>Xiphias gladius</w:t>
      </w:r>
      <w:r w:rsidR="00034615">
        <w:rPr>
          <w:rStyle w:val="IntenseEmphasis"/>
          <w:b w:val="0"/>
          <w:i w:val="0"/>
          <w:color w:val="auto"/>
          <w:szCs w:val="24"/>
        </w:rPr>
        <w:t>)</w:t>
      </w:r>
      <w:r>
        <w:rPr>
          <w:rStyle w:val="IntenseEmphasis"/>
          <w:b w:val="0"/>
          <w:i w:val="0"/>
          <w:color w:val="auto"/>
          <w:szCs w:val="24"/>
        </w:rPr>
        <w:t xml:space="preserve"> catch per unit effort for the Hawaii-based longline fishery </w:t>
      </w:r>
      <w:r w:rsidR="0036763F">
        <w:rPr>
          <w:rStyle w:val="IntenseEmphasis"/>
          <w:b w:val="0"/>
          <w:i w:val="0"/>
          <w:color w:val="auto"/>
          <w:szCs w:val="24"/>
        </w:rPr>
        <w:t xml:space="preserve">was </w:t>
      </w:r>
      <w:r>
        <w:rPr>
          <w:rStyle w:val="IntenseEmphasis"/>
          <w:b w:val="0"/>
          <w:i w:val="0"/>
          <w:color w:val="auto"/>
          <w:szCs w:val="24"/>
        </w:rPr>
        <w:t xml:space="preserve">standardized from the Pacific Islands Regional Observer </w:t>
      </w:r>
      <w:r w:rsidR="00345600">
        <w:rPr>
          <w:rStyle w:val="IntenseEmphasis"/>
          <w:b w:val="0"/>
          <w:i w:val="0"/>
          <w:color w:val="auto"/>
          <w:szCs w:val="24"/>
        </w:rPr>
        <w:t>data set</w:t>
      </w:r>
      <w:r>
        <w:rPr>
          <w:rStyle w:val="IntenseEmphasis"/>
          <w:b w:val="0"/>
          <w:i w:val="0"/>
          <w:color w:val="auto"/>
          <w:szCs w:val="24"/>
        </w:rPr>
        <w:t xml:space="preserve">. The fishery </w:t>
      </w:r>
      <w:r w:rsidR="0036763F">
        <w:rPr>
          <w:rStyle w:val="IntenseEmphasis"/>
          <w:b w:val="0"/>
          <w:i w:val="0"/>
          <w:color w:val="auto"/>
          <w:szCs w:val="24"/>
        </w:rPr>
        <w:t xml:space="preserve">was </w:t>
      </w:r>
      <w:r>
        <w:rPr>
          <w:rStyle w:val="IntenseEmphasis"/>
          <w:b w:val="0"/>
          <w:i w:val="0"/>
          <w:color w:val="auto"/>
          <w:szCs w:val="24"/>
        </w:rPr>
        <w:t>divided into the tuna-targeting deep</w:t>
      </w:r>
      <w:r w:rsidR="00F764D8">
        <w:rPr>
          <w:rStyle w:val="IntenseEmphasis"/>
          <w:b w:val="0"/>
          <w:i w:val="0"/>
          <w:color w:val="auto"/>
          <w:szCs w:val="24"/>
        </w:rPr>
        <w:t>-</w:t>
      </w:r>
      <w:r>
        <w:rPr>
          <w:rStyle w:val="IntenseEmphasis"/>
          <w:b w:val="0"/>
          <w:i w:val="0"/>
          <w:color w:val="auto"/>
          <w:szCs w:val="24"/>
        </w:rPr>
        <w:t>set sector and the swordfish-targeting shallow</w:t>
      </w:r>
      <w:r w:rsidR="00F764D8">
        <w:rPr>
          <w:rStyle w:val="IntenseEmphasis"/>
          <w:b w:val="0"/>
          <w:i w:val="0"/>
          <w:color w:val="auto"/>
          <w:szCs w:val="24"/>
        </w:rPr>
        <w:t>-</w:t>
      </w:r>
      <w:r>
        <w:rPr>
          <w:rStyle w:val="IntenseEmphasis"/>
          <w:b w:val="0"/>
          <w:i w:val="0"/>
          <w:color w:val="auto"/>
          <w:szCs w:val="24"/>
        </w:rPr>
        <w:t xml:space="preserve">set sector. Additionally, the </w:t>
      </w:r>
      <w:r w:rsidR="000D0A0F">
        <w:rPr>
          <w:rStyle w:val="IntenseEmphasis"/>
          <w:b w:val="0"/>
          <w:i w:val="0"/>
          <w:color w:val="auto"/>
          <w:szCs w:val="24"/>
        </w:rPr>
        <w:t>shallow-set</w:t>
      </w:r>
      <w:r>
        <w:rPr>
          <w:rStyle w:val="IntenseEmphasis"/>
          <w:b w:val="0"/>
          <w:i w:val="0"/>
          <w:color w:val="auto"/>
          <w:szCs w:val="24"/>
        </w:rPr>
        <w:t xml:space="preserve"> sector </w:t>
      </w:r>
      <w:r w:rsidR="0036763F">
        <w:rPr>
          <w:rStyle w:val="IntenseEmphasis"/>
          <w:b w:val="0"/>
          <w:i w:val="0"/>
          <w:color w:val="auto"/>
          <w:szCs w:val="24"/>
        </w:rPr>
        <w:t xml:space="preserve">was </w:t>
      </w:r>
      <w:r>
        <w:rPr>
          <w:rStyle w:val="IntenseEmphasis"/>
          <w:b w:val="0"/>
          <w:i w:val="0"/>
          <w:color w:val="auto"/>
          <w:szCs w:val="24"/>
        </w:rPr>
        <w:t>standardized in two time periods: an early period (1995</w:t>
      </w:r>
      <w:r w:rsidR="00F764D8">
        <w:rPr>
          <w:rStyle w:val="IntenseEmphasis"/>
          <w:b w:val="0"/>
          <w:i w:val="0"/>
          <w:color w:val="auto"/>
          <w:szCs w:val="24"/>
        </w:rPr>
        <w:t>–</w:t>
      </w:r>
      <w:r>
        <w:rPr>
          <w:rStyle w:val="IntenseEmphasis"/>
          <w:b w:val="0"/>
          <w:i w:val="0"/>
          <w:color w:val="auto"/>
          <w:szCs w:val="24"/>
        </w:rPr>
        <w:t>2000) and a late period (2005</w:t>
      </w:r>
      <w:r w:rsidR="00F764D8">
        <w:rPr>
          <w:rStyle w:val="IntenseEmphasis"/>
          <w:b w:val="0"/>
          <w:i w:val="0"/>
          <w:color w:val="auto"/>
          <w:szCs w:val="24"/>
        </w:rPr>
        <w:t>–</w:t>
      </w:r>
      <w:r>
        <w:rPr>
          <w:rStyle w:val="IntenseEmphasis"/>
          <w:b w:val="0"/>
          <w:i w:val="0"/>
          <w:color w:val="auto"/>
          <w:szCs w:val="24"/>
        </w:rPr>
        <w:t xml:space="preserve">2016) </w:t>
      </w:r>
      <w:r w:rsidR="00320F5E">
        <w:rPr>
          <w:rStyle w:val="IntenseEmphasis"/>
          <w:b w:val="0"/>
          <w:i w:val="0"/>
          <w:color w:val="auto"/>
          <w:szCs w:val="24"/>
        </w:rPr>
        <w:t>because the shallow-set fishery was closed from 2001</w:t>
      </w:r>
      <w:r w:rsidR="00F764D8">
        <w:rPr>
          <w:rStyle w:val="IntenseEmphasis"/>
          <w:b w:val="0"/>
          <w:i w:val="0"/>
          <w:color w:val="auto"/>
          <w:szCs w:val="24"/>
        </w:rPr>
        <w:t xml:space="preserve"> to </w:t>
      </w:r>
      <w:r w:rsidR="00320F5E">
        <w:rPr>
          <w:rStyle w:val="IntenseEmphasis"/>
          <w:b w:val="0"/>
          <w:i w:val="0"/>
          <w:color w:val="auto"/>
          <w:szCs w:val="24"/>
        </w:rPr>
        <w:t xml:space="preserve">2004, and regulations caused </w:t>
      </w:r>
      <w:r>
        <w:rPr>
          <w:rStyle w:val="IntenseEmphasis"/>
          <w:b w:val="0"/>
          <w:i w:val="0"/>
          <w:color w:val="auto"/>
          <w:szCs w:val="24"/>
        </w:rPr>
        <w:t xml:space="preserve">changes in the fleet operations </w:t>
      </w:r>
      <w:r w:rsidR="00320F5E">
        <w:rPr>
          <w:rStyle w:val="IntenseEmphasis"/>
          <w:b w:val="0"/>
          <w:i w:val="0"/>
          <w:color w:val="auto"/>
          <w:szCs w:val="24"/>
        </w:rPr>
        <w:t>thereafter</w:t>
      </w:r>
      <w:r w:rsidR="007C35F8">
        <w:rPr>
          <w:rStyle w:val="IntenseEmphasis"/>
          <w:b w:val="0"/>
          <w:i w:val="0"/>
          <w:color w:val="auto"/>
          <w:szCs w:val="24"/>
        </w:rPr>
        <w:t xml:space="preserve">. </w:t>
      </w:r>
      <w:r>
        <w:rPr>
          <w:rStyle w:val="IntenseEmphasis"/>
          <w:b w:val="0"/>
          <w:i w:val="0"/>
          <w:color w:val="auto"/>
          <w:szCs w:val="24"/>
        </w:rPr>
        <w:t xml:space="preserve">Four different models were evaluated to standardize the CPUE for each time series: the delta-lognormal model, the negative binomial model, the zero-inflated negative binomial </w:t>
      </w:r>
      <w:r w:rsidR="00420480">
        <w:rPr>
          <w:rStyle w:val="IntenseEmphasis"/>
          <w:b w:val="0"/>
          <w:i w:val="0"/>
          <w:color w:val="auto"/>
          <w:szCs w:val="24"/>
        </w:rPr>
        <w:t>model, and the P</w:t>
      </w:r>
      <w:r>
        <w:rPr>
          <w:rStyle w:val="IntenseEmphasis"/>
          <w:b w:val="0"/>
          <w:i w:val="0"/>
          <w:color w:val="auto"/>
          <w:szCs w:val="24"/>
        </w:rPr>
        <w:t xml:space="preserve">oisson model. The delta-lognormal model provided the best model fits and explained the most percent deviance of those evaluated. </w:t>
      </w:r>
      <w:r w:rsidR="00420480">
        <w:rPr>
          <w:rStyle w:val="IntenseEmphasis"/>
          <w:b w:val="0"/>
          <w:i w:val="0"/>
          <w:color w:val="auto"/>
          <w:szCs w:val="24"/>
        </w:rPr>
        <w:t>The models explained between 26</w:t>
      </w:r>
      <w:r w:rsidR="000D0A0F">
        <w:rPr>
          <w:rStyle w:val="IntenseEmphasis"/>
          <w:b w:val="0"/>
          <w:i w:val="0"/>
          <w:color w:val="auto"/>
          <w:szCs w:val="24"/>
        </w:rPr>
        <w:t xml:space="preserve"> and </w:t>
      </w:r>
      <w:r w:rsidR="00420480">
        <w:rPr>
          <w:rStyle w:val="IntenseEmphasis"/>
          <w:b w:val="0"/>
          <w:i w:val="0"/>
          <w:color w:val="auto"/>
          <w:szCs w:val="24"/>
        </w:rPr>
        <w:t xml:space="preserve">65% of the deviance in the </w:t>
      </w:r>
      <w:r w:rsidR="000D0A0F">
        <w:rPr>
          <w:rStyle w:val="IntenseEmphasis"/>
          <w:b w:val="0"/>
          <w:i w:val="0"/>
          <w:color w:val="auto"/>
          <w:szCs w:val="24"/>
        </w:rPr>
        <w:t>shallow-set</w:t>
      </w:r>
      <w:r w:rsidR="00420480">
        <w:rPr>
          <w:rStyle w:val="IntenseEmphasis"/>
          <w:b w:val="0"/>
          <w:i w:val="0"/>
          <w:color w:val="auto"/>
          <w:szCs w:val="24"/>
        </w:rPr>
        <w:t xml:space="preserve"> sector and 35% of the deviance in the positive catches for the </w:t>
      </w:r>
      <w:r w:rsidR="00F764D8">
        <w:rPr>
          <w:rStyle w:val="IntenseEmphasis"/>
          <w:b w:val="0"/>
          <w:i w:val="0"/>
          <w:color w:val="auto"/>
          <w:szCs w:val="24"/>
        </w:rPr>
        <w:t>deep-set</w:t>
      </w:r>
      <w:r w:rsidR="00420480">
        <w:rPr>
          <w:rStyle w:val="IntenseEmphasis"/>
          <w:b w:val="0"/>
          <w:i w:val="0"/>
          <w:color w:val="auto"/>
          <w:szCs w:val="24"/>
        </w:rPr>
        <w:t xml:space="preserve"> sector, but only 4% of the proportion </w:t>
      </w:r>
      <w:r w:rsidR="009516EF">
        <w:rPr>
          <w:rStyle w:val="IntenseEmphasis"/>
          <w:b w:val="0"/>
          <w:i w:val="0"/>
          <w:color w:val="auto"/>
          <w:szCs w:val="24"/>
        </w:rPr>
        <w:t xml:space="preserve">of </w:t>
      </w:r>
      <w:r w:rsidR="00420480">
        <w:rPr>
          <w:rStyle w:val="IntenseEmphasis"/>
          <w:b w:val="0"/>
          <w:i w:val="0"/>
          <w:color w:val="auto"/>
          <w:szCs w:val="24"/>
        </w:rPr>
        <w:t xml:space="preserve">positive catches in the </w:t>
      </w:r>
      <w:r w:rsidR="00F764D8">
        <w:rPr>
          <w:rStyle w:val="IntenseEmphasis"/>
          <w:b w:val="0"/>
          <w:i w:val="0"/>
          <w:color w:val="auto"/>
          <w:szCs w:val="24"/>
        </w:rPr>
        <w:t>deep-set</w:t>
      </w:r>
      <w:r w:rsidR="00420480">
        <w:rPr>
          <w:rStyle w:val="IntenseEmphasis"/>
          <w:b w:val="0"/>
          <w:i w:val="0"/>
          <w:color w:val="auto"/>
          <w:szCs w:val="24"/>
        </w:rPr>
        <w:t xml:space="preserve"> sector. The </w:t>
      </w:r>
      <w:r w:rsidR="000D0A0F">
        <w:rPr>
          <w:rStyle w:val="IntenseEmphasis"/>
          <w:b w:val="0"/>
          <w:i w:val="0"/>
          <w:color w:val="auto"/>
          <w:szCs w:val="24"/>
        </w:rPr>
        <w:t>shallow-set</w:t>
      </w:r>
      <w:r w:rsidR="00420480">
        <w:rPr>
          <w:rStyle w:val="IntenseEmphasis"/>
          <w:b w:val="0"/>
          <w:i w:val="0"/>
          <w:color w:val="auto"/>
          <w:szCs w:val="24"/>
        </w:rPr>
        <w:t xml:space="preserve"> standardized annual </w:t>
      </w:r>
      <w:r w:rsidR="00DA3101">
        <w:rPr>
          <w:rStyle w:val="IntenseEmphasis"/>
          <w:b w:val="0"/>
          <w:i w:val="0"/>
          <w:color w:val="auto"/>
          <w:szCs w:val="24"/>
        </w:rPr>
        <w:t>CPUE values</w:t>
      </w:r>
      <w:r w:rsidR="00420480">
        <w:rPr>
          <w:rStyle w:val="IntenseEmphasis"/>
          <w:b w:val="0"/>
          <w:i w:val="0"/>
          <w:color w:val="auto"/>
          <w:szCs w:val="24"/>
        </w:rPr>
        <w:t xml:space="preserve"> show an increase in catch rates in the early period followed by a peak in 2006 after the closure. </w:t>
      </w:r>
      <w:r w:rsidR="00DA3101">
        <w:rPr>
          <w:rStyle w:val="IntenseEmphasis"/>
          <w:b w:val="0"/>
          <w:i w:val="0"/>
          <w:color w:val="auto"/>
          <w:szCs w:val="24"/>
        </w:rPr>
        <w:t>CPUE values</w:t>
      </w:r>
      <w:r w:rsidR="00420480">
        <w:rPr>
          <w:rStyle w:val="IntenseEmphasis"/>
          <w:b w:val="0"/>
          <w:i w:val="0"/>
          <w:color w:val="auto"/>
          <w:szCs w:val="24"/>
        </w:rPr>
        <w:t xml:space="preserve"> increased again from 2010 to the present. The </w:t>
      </w:r>
      <w:r w:rsidR="00DA3101">
        <w:rPr>
          <w:rStyle w:val="IntenseEmphasis"/>
          <w:b w:val="0"/>
          <w:i w:val="0"/>
          <w:color w:val="auto"/>
          <w:szCs w:val="24"/>
        </w:rPr>
        <w:t>CPUE values</w:t>
      </w:r>
      <w:r w:rsidR="00420480">
        <w:rPr>
          <w:rStyle w:val="IntenseEmphasis"/>
          <w:b w:val="0"/>
          <w:i w:val="0"/>
          <w:color w:val="auto"/>
          <w:szCs w:val="24"/>
        </w:rPr>
        <w:t xml:space="preserve"> for the </w:t>
      </w:r>
      <w:r w:rsidR="00F764D8">
        <w:rPr>
          <w:rStyle w:val="IntenseEmphasis"/>
          <w:b w:val="0"/>
          <w:i w:val="0"/>
          <w:color w:val="auto"/>
          <w:szCs w:val="24"/>
        </w:rPr>
        <w:t>deep-set</w:t>
      </w:r>
      <w:r w:rsidR="00420480">
        <w:rPr>
          <w:rStyle w:val="IntenseEmphasis"/>
          <w:b w:val="0"/>
          <w:i w:val="0"/>
          <w:color w:val="auto"/>
          <w:szCs w:val="24"/>
        </w:rPr>
        <w:t xml:space="preserve"> sector were relatively flat and had high variability.</w:t>
      </w:r>
    </w:p>
    <w:p w14:paraId="1ADA5669" w14:textId="77777777" w:rsidR="00A95B9F" w:rsidRPr="00A31E7F" w:rsidRDefault="00E23C47" w:rsidP="00A31E7F">
      <w:pPr>
        <w:pStyle w:val="Heading1"/>
      </w:pPr>
      <w:r w:rsidRPr="00A31E7F">
        <w:t>Introduction</w:t>
      </w:r>
    </w:p>
    <w:p w14:paraId="4531AE25" w14:textId="0E3F75DE" w:rsidR="006855B9" w:rsidRPr="006855B9" w:rsidRDefault="006855B9" w:rsidP="006855B9">
      <w:pPr>
        <w:rPr>
          <w:bCs/>
          <w:iCs/>
        </w:rPr>
      </w:pPr>
      <w:bookmarkStart w:id="0" w:name="_Ref499308082"/>
      <w:r w:rsidRPr="006855B9">
        <w:rPr>
          <w:bCs/>
          <w:iCs/>
        </w:rPr>
        <w:t>Broadbill swordfish (</w:t>
      </w:r>
      <w:r w:rsidRPr="006855B9">
        <w:rPr>
          <w:bCs/>
          <w:i/>
          <w:iCs/>
        </w:rPr>
        <w:t>Xiphias gladius</w:t>
      </w:r>
      <w:r w:rsidRPr="006855B9">
        <w:rPr>
          <w:bCs/>
          <w:iCs/>
        </w:rPr>
        <w:t>) inhabit the Pacific Ocean between 50°</w:t>
      </w:r>
      <w:r w:rsidR="004F3B31">
        <w:rPr>
          <w:bCs/>
          <w:iCs/>
        </w:rPr>
        <w:t xml:space="preserve"> </w:t>
      </w:r>
      <w:r w:rsidRPr="006855B9">
        <w:rPr>
          <w:bCs/>
          <w:iCs/>
        </w:rPr>
        <w:t>N and 50°</w:t>
      </w:r>
      <w:r w:rsidR="004F3B31">
        <w:rPr>
          <w:bCs/>
          <w:iCs/>
        </w:rPr>
        <w:t xml:space="preserve"> </w:t>
      </w:r>
      <w:r w:rsidRPr="006855B9">
        <w:rPr>
          <w:bCs/>
          <w:iCs/>
        </w:rPr>
        <w:t>S. They are a commercially important highly migratory species caught primarily by the Japanese, Taiwanese, and U</w:t>
      </w:r>
      <w:r w:rsidR="004F3B31">
        <w:rPr>
          <w:bCs/>
          <w:iCs/>
        </w:rPr>
        <w:t>.</w:t>
      </w:r>
      <w:r w:rsidRPr="006855B9">
        <w:rPr>
          <w:bCs/>
          <w:iCs/>
        </w:rPr>
        <w:t>S</w:t>
      </w:r>
      <w:r w:rsidR="004F3B31">
        <w:rPr>
          <w:bCs/>
          <w:iCs/>
        </w:rPr>
        <w:t>.</w:t>
      </w:r>
      <w:r w:rsidRPr="006855B9">
        <w:rPr>
          <w:bCs/>
          <w:iCs/>
        </w:rPr>
        <w:t xml:space="preserve"> longline fisher</w:t>
      </w:r>
      <w:r w:rsidR="00472543">
        <w:rPr>
          <w:bCs/>
          <w:iCs/>
        </w:rPr>
        <w:t>ies</w:t>
      </w:r>
      <w:r w:rsidRPr="006855B9">
        <w:rPr>
          <w:bCs/>
          <w:iCs/>
        </w:rPr>
        <w:t xml:space="preserve"> (Bigelow </w:t>
      </w:r>
      <w:r w:rsidRPr="006855B9">
        <w:rPr>
          <w:bCs/>
          <w:i/>
          <w:iCs/>
        </w:rPr>
        <w:t>et al.</w:t>
      </w:r>
      <w:r w:rsidRPr="006855B9">
        <w:rPr>
          <w:bCs/>
          <w:iCs/>
        </w:rPr>
        <w:t xml:space="preserve">, 1999). The swordfish </w:t>
      </w:r>
      <w:r w:rsidR="004A7837">
        <w:rPr>
          <w:bCs/>
          <w:iCs/>
        </w:rPr>
        <w:t>stock</w:t>
      </w:r>
      <w:r w:rsidR="002D6713">
        <w:rPr>
          <w:bCs/>
          <w:iCs/>
        </w:rPr>
        <w:t xml:space="preserve"> </w:t>
      </w:r>
      <w:r w:rsidRPr="006855B9">
        <w:rPr>
          <w:bCs/>
          <w:iCs/>
        </w:rPr>
        <w:t xml:space="preserve">in the North Pacific </w:t>
      </w:r>
      <w:r w:rsidR="004A7837">
        <w:rPr>
          <w:bCs/>
          <w:iCs/>
        </w:rPr>
        <w:t>has</w:t>
      </w:r>
      <w:r w:rsidR="004A7837" w:rsidRPr="006855B9">
        <w:rPr>
          <w:bCs/>
          <w:iCs/>
        </w:rPr>
        <w:t xml:space="preserve"> </w:t>
      </w:r>
      <w:r w:rsidRPr="006855B9">
        <w:rPr>
          <w:bCs/>
          <w:iCs/>
        </w:rPr>
        <w:t xml:space="preserve">been assessed as a single stock scenario and under a two stock scenario, with one stock in the </w:t>
      </w:r>
      <w:r w:rsidR="004F3B31">
        <w:rPr>
          <w:bCs/>
          <w:iCs/>
        </w:rPr>
        <w:t>w</w:t>
      </w:r>
      <w:r w:rsidR="004F3B31" w:rsidRPr="006855B9">
        <w:rPr>
          <w:bCs/>
          <w:iCs/>
        </w:rPr>
        <w:t xml:space="preserve">estern </w:t>
      </w:r>
      <w:r w:rsidR="004F3B31">
        <w:rPr>
          <w:bCs/>
          <w:iCs/>
        </w:rPr>
        <w:t>c</w:t>
      </w:r>
      <w:r w:rsidR="004F3B31" w:rsidRPr="006855B9">
        <w:rPr>
          <w:bCs/>
          <w:iCs/>
        </w:rPr>
        <w:t xml:space="preserve">entral </w:t>
      </w:r>
      <w:r w:rsidRPr="006855B9">
        <w:rPr>
          <w:bCs/>
          <w:iCs/>
        </w:rPr>
        <w:t xml:space="preserve">Pacific Ocean and one stock in the </w:t>
      </w:r>
      <w:r w:rsidR="004F3B31">
        <w:rPr>
          <w:bCs/>
          <w:iCs/>
        </w:rPr>
        <w:t>e</w:t>
      </w:r>
      <w:r w:rsidR="004F3B31" w:rsidRPr="006855B9">
        <w:rPr>
          <w:bCs/>
          <w:iCs/>
        </w:rPr>
        <w:t xml:space="preserve">astern </w:t>
      </w:r>
      <w:r w:rsidRPr="006855B9">
        <w:rPr>
          <w:bCs/>
          <w:iCs/>
        </w:rPr>
        <w:t>Pacific Ocean. These stocks were assessed in 2009 and again in 2014 by the Billfish Working Group</w:t>
      </w:r>
      <w:r w:rsidR="00AA4B90">
        <w:rPr>
          <w:bCs/>
          <w:iCs/>
        </w:rPr>
        <w:t xml:space="preserve"> (BILLWG)</w:t>
      </w:r>
      <w:r w:rsidRPr="006855B9">
        <w:rPr>
          <w:bCs/>
          <w:iCs/>
        </w:rPr>
        <w:t xml:space="preserve"> of the International Scientific Committee for Tuna and Tuna-like Species in the North Pacific Ocean (ISC)</w:t>
      </w:r>
      <w:r w:rsidR="00BF2F19">
        <w:rPr>
          <w:bCs/>
          <w:iCs/>
        </w:rPr>
        <w:t xml:space="preserve"> (</w:t>
      </w:r>
      <w:r w:rsidR="00A438FD">
        <w:rPr>
          <w:bCs/>
          <w:iCs/>
        </w:rPr>
        <w:t>ISC BILLWG</w:t>
      </w:r>
      <w:r w:rsidR="00E33BD3">
        <w:rPr>
          <w:bCs/>
          <w:iCs/>
        </w:rPr>
        <w:t>,</w:t>
      </w:r>
      <w:r w:rsidR="00A438FD">
        <w:rPr>
          <w:bCs/>
          <w:iCs/>
        </w:rPr>
        <w:t xml:space="preserve"> 2009; ISC BILLWG</w:t>
      </w:r>
      <w:r w:rsidR="00E33BD3">
        <w:rPr>
          <w:bCs/>
          <w:iCs/>
        </w:rPr>
        <w:t>,</w:t>
      </w:r>
      <w:r w:rsidR="00A438FD">
        <w:rPr>
          <w:bCs/>
          <w:iCs/>
        </w:rPr>
        <w:t xml:space="preserve"> 2014</w:t>
      </w:r>
      <w:r w:rsidR="00BF2F19">
        <w:rPr>
          <w:bCs/>
          <w:iCs/>
        </w:rPr>
        <w:t>)</w:t>
      </w:r>
      <w:r w:rsidRPr="006855B9">
        <w:rPr>
          <w:bCs/>
          <w:iCs/>
        </w:rPr>
        <w:t>. The Eastern Pacific Stock</w:t>
      </w:r>
      <w:r w:rsidR="00DA5941">
        <w:rPr>
          <w:bCs/>
          <w:iCs/>
        </w:rPr>
        <w:t xml:space="preserve"> of a different spatial delineation</w:t>
      </w:r>
      <w:r w:rsidRPr="006855B9">
        <w:rPr>
          <w:bCs/>
          <w:iCs/>
        </w:rPr>
        <w:t xml:space="preserve"> was also assessed by the Inter-American Tropical Tuna Commission (IATTC) in 2010</w:t>
      </w:r>
      <w:r w:rsidR="00BF2F19">
        <w:rPr>
          <w:bCs/>
          <w:iCs/>
        </w:rPr>
        <w:t xml:space="preserve"> (</w:t>
      </w:r>
      <w:r w:rsidR="00A438FD">
        <w:rPr>
          <w:bCs/>
          <w:iCs/>
        </w:rPr>
        <w:t>IATTC SAP</w:t>
      </w:r>
      <w:r w:rsidR="00E33BD3">
        <w:rPr>
          <w:bCs/>
          <w:iCs/>
        </w:rPr>
        <w:t>,</w:t>
      </w:r>
      <w:r w:rsidR="00A438FD">
        <w:rPr>
          <w:bCs/>
          <w:iCs/>
        </w:rPr>
        <w:t xml:space="preserve"> 2011</w:t>
      </w:r>
      <w:r w:rsidR="00BF2F19">
        <w:rPr>
          <w:bCs/>
          <w:iCs/>
        </w:rPr>
        <w:t>)</w:t>
      </w:r>
      <w:r w:rsidRPr="006855B9">
        <w:rPr>
          <w:bCs/>
          <w:iCs/>
        </w:rPr>
        <w:t xml:space="preserve">. </w:t>
      </w:r>
      <w:bookmarkStart w:id="1" w:name="_GoBack"/>
      <w:bookmarkEnd w:id="1"/>
    </w:p>
    <w:p w14:paraId="1DF29D88" w14:textId="148F37DF" w:rsidR="00A31E7F" w:rsidRPr="00430985" w:rsidRDefault="00430985" w:rsidP="006855B9">
      <w:pPr>
        <w:rPr>
          <w:rStyle w:val="IntenseEmphasis"/>
          <w:b w:val="0"/>
          <w:i w:val="0"/>
          <w:color w:val="auto"/>
        </w:rPr>
      </w:pPr>
      <w:r>
        <w:rPr>
          <w:rStyle w:val="IntenseEmphasis"/>
          <w:b w:val="0"/>
          <w:i w:val="0"/>
          <w:color w:val="auto"/>
        </w:rPr>
        <w:t xml:space="preserve">The BILLWG of the International Scientific Committee for Tuna and Tuna-like Species in the North Pacific (ISC) has proposed to </w:t>
      </w:r>
      <w:r w:rsidR="00734D9E">
        <w:rPr>
          <w:rStyle w:val="IntenseEmphasis"/>
          <w:b w:val="0"/>
          <w:i w:val="0"/>
          <w:color w:val="auto"/>
        </w:rPr>
        <w:t xml:space="preserve">attempt </w:t>
      </w:r>
      <w:r>
        <w:rPr>
          <w:rStyle w:val="IntenseEmphasis"/>
          <w:b w:val="0"/>
          <w:i w:val="0"/>
          <w:color w:val="auto"/>
        </w:rPr>
        <w:t xml:space="preserve">a benchmark assessment of </w:t>
      </w:r>
      <w:r w:rsidR="00485B1D">
        <w:rPr>
          <w:rStyle w:val="IntenseEmphasis"/>
          <w:b w:val="0"/>
          <w:i w:val="0"/>
          <w:color w:val="auto"/>
        </w:rPr>
        <w:t xml:space="preserve">North Pacific </w:t>
      </w:r>
      <w:r>
        <w:rPr>
          <w:rStyle w:val="IntenseEmphasis"/>
          <w:b w:val="0"/>
          <w:i w:val="0"/>
          <w:color w:val="auto"/>
        </w:rPr>
        <w:t xml:space="preserve">swordfish </w:t>
      </w:r>
      <w:r>
        <w:rPr>
          <w:rStyle w:val="IntenseEmphasis"/>
          <w:b w:val="0"/>
          <w:color w:val="auto"/>
        </w:rPr>
        <w:t xml:space="preserve">Xiphias gladius </w:t>
      </w:r>
      <w:r>
        <w:rPr>
          <w:rStyle w:val="IntenseEmphasis"/>
          <w:b w:val="0"/>
          <w:i w:val="0"/>
          <w:color w:val="auto"/>
        </w:rPr>
        <w:t xml:space="preserve">in 2018. In preparation for the assessment, this working paper describes the standardization </w:t>
      </w:r>
      <w:r w:rsidR="00866154">
        <w:rPr>
          <w:rStyle w:val="IntenseEmphasis"/>
          <w:b w:val="0"/>
          <w:i w:val="0"/>
          <w:color w:val="auto"/>
        </w:rPr>
        <w:t xml:space="preserve">swordfish </w:t>
      </w:r>
      <w:r w:rsidR="00322E9A">
        <w:rPr>
          <w:rStyle w:val="IntenseEmphasis"/>
          <w:b w:val="0"/>
          <w:i w:val="0"/>
          <w:color w:val="auto"/>
        </w:rPr>
        <w:t>catch rates</w:t>
      </w:r>
      <w:r w:rsidR="0090224A">
        <w:rPr>
          <w:rStyle w:val="IntenseEmphasis"/>
          <w:b w:val="0"/>
          <w:i w:val="0"/>
          <w:color w:val="auto"/>
        </w:rPr>
        <w:t xml:space="preserve"> </w:t>
      </w:r>
      <w:r>
        <w:rPr>
          <w:rStyle w:val="IntenseEmphasis"/>
          <w:b w:val="0"/>
          <w:i w:val="0"/>
          <w:color w:val="auto"/>
        </w:rPr>
        <w:t xml:space="preserve">from the Hawaii-based longline fleet, which targets swordfish in the </w:t>
      </w:r>
      <w:r w:rsidR="000D0A0F">
        <w:rPr>
          <w:rStyle w:val="IntenseEmphasis"/>
          <w:b w:val="0"/>
          <w:i w:val="0"/>
          <w:color w:val="auto"/>
        </w:rPr>
        <w:t>shallow-set</w:t>
      </w:r>
      <w:r>
        <w:rPr>
          <w:rStyle w:val="IntenseEmphasis"/>
          <w:b w:val="0"/>
          <w:i w:val="0"/>
          <w:color w:val="auto"/>
        </w:rPr>
        <w:t xml:space="preserve"> sector</w:t>
      </w:r>
      <w:r w:rsidR="008354E7">
        <w:rPr>
          <w:rStyle w:val="IntenseEmphasis"/>
          <w:b w:val="0"/>
          <w:i w:val="0"/>
          <w:color w:val="auto"/>
        </w:rPr>
        <w:t xml:space="preserve"> and catches swordfish as bycatch in the </w:t>
      </w:r>
      <w:r w:rsidR="00F764D8">
        <w:rPr>
          <w:rStyle w:val="IntenseEmphasis"/>
          <w:b w:val="0"/>
          <w:i w:val="0"/>
          <w:color w:val="auto"/>
        </w:rPr>
        <w:t>deep-set</w:t>
      </w:r>
      <w:r w:rsidR="008354E7">
        <w:rPr>
          <w:rStyle w:val="IntenseEmphasis"/>
          <w:b w:val="0"/>
          <w:i w:val="0"/>
          <w:color w:val="auto"/>
        </w:rPr>
        <w:t xml:space="preserve"> sector</w:t>
      </w:r>
      <w:r>
        <w:rPr>
          <w:rStyle w:val="IntenseEmphasis"/>
          <w:b w:val="0"/>
          <w:i w:val="0"/>
          <w:color w:val="auto"/>
        </w:rPr>
        <w:t xml:space="preserve">. </w:t>
      </w:r>
      <w:r w:rsidR="008354E7">
        <w:rPr>
          <w:szCs w:val="24"/>
        </w:rPr>
        <w:t xml:space="preserve">Swordfish are caught as targeted-species in the Hawaiian longline </w:t>
      </w:r>
      <w:r w:rsidR="000D0A0F">
        <w:rPr>
          <w:szCs w:val="24"/>
        </w:rPr>
        <w:t>shallow-set</w:t>
      </w:r>
      <w:r w:rsidR="008354E7">
        <w:rPr>
          <w:szCs w:val="24"/>
        </w:rPr>
        <w:t xml:space="preserve"> fishery sector (&lt;</w:t>
      </w:r>
      <w:r w:rsidR="006D1EE3">
        <w:rPr>
          <w:szCs w:val="24"/>
        </w:rPr>
        <w:t xml:space="preserve"> </w:t>
      </w:r>
      <w:r w:rsidR="008354E7">
        <w:rPr>
          <w:szCs w:val="24"/>
        </w:rPr>
        <w:t xml:space="preserve">15 hooks per float) and as bycatch in the tuna targeting Hawaiian longline </w:t>
      </w:r>
      <w:r w:rsidR="00F764D8">
        <w:rPr>
          <w:szCs w:val="24"/>
        </w:rPr>
        <w:t>deep-set</w:t>
      </w:r>
      <w:r w:rsidR="008354E7">
        <w:rPr>
          <w:szCs w:val="24"/>
        </w:rPr>
        <w:t xml:space="preserve"> fishery sector (≥</w:t>
      </w:r>
      <w:r w:rsidR="006D1EE3">
        <w:rPr>
          <w:szCs w:val="24"/>
        </w:rPr>
        <w:t xml:space="preserve"> </w:t>
      </w:r>
      <w:r w:rsidR="008354E7">
        <w:rPr>
          <w:szCs w:val="24"/>
        </w:rPr>
        <w:t xml:space="preserve">15 hooks per float). This fleet has been described previously </w:t>
      </w:r>
      <w:r w:rsidR="008354E7" w:rsidRPr="000D32F0">
        <w:rPr>
          <w:szCs w:val="24"/>
        </w:rPr>
        <w:t>by Ito and Childers (2014)</w:t>
      </w:r>
      <w:r w:rsidR="008354E7">
        <w:rPr>
          <w:szCs w:val="24"/>
        </w:rPr>
        <w:t xml:space="preserve"> </w:t>
      </w:r>
      <w:r w:rsidR="00142BF7">
        <w:rPr>
          <w:szCs w:val="24"/>
        </w:rPr>
        <w:t xml:space="preserve">and </w:t>
      </w:r>
      <w:r w:rsidR="00BA4143">
        <w:rPr>
          <w:szCs w:val="24"/>
        </w:rPr>
        <w:t>also</w:t>
      </w:r>
      <w:r w:rsidR="00142BF7">
        <w:rPr>
          <w:szCs w:val="24"/>
        </w:rPr>
        <w:t xml:space="preserve"> in a working paper submitted to the same BILLWG session (Ito and Childers 2018) </w:t>
      </w:r>
      <w:r w:rsidR="008354E7">
        <w:rPr>
          <w:szCs w:val="24"/>
        </w:rPr>
        <w:t>and there have not been additional substantial changes to the fishery</w:t>
      </w:r>
      <w:r w:rsidR="00BA4143">
        <w:rPr>
          <w:szCs w:val="24"/>
        </w:rPr>
        <w:t xml:space="preserve"> since 2014</w:t>
      </w:r>
      <w:r w:rsidR="008354E7">
        <w:rPr>
          <w:szCs w:val="24"/>
        </w:rPr>
        <w:t>. Historically the Hawaiian longline fishery has targeted tuna</w:t>
      </w:r>
      <w:r w:rsidR="006D1EE3">
        <w:rPr>
          <w:szCs w:val="24"/>
        </w:rPr>
        <w:t xml:space="preserve">; </w:t>
      </w:r>
      <w:r w:rsidR="008354E7">
        <w:rPr>
          <w:szCs w:val="24"/>
        </w:rPr>
        <w:t>however</w:t>
      </w:r>
      <w:r w:rsidR="006D1EE3">
        <w:rPr>
          <w:szCs w:val="24"/>
        </w:rPr>
        <w:t>,</w:t>
      </w:r>
      <w:r w:rsidR="008354E7">
        <w:rPr>
          <w:szCs w:val="24"/>
        </w:rPr>
        <w:t xml:space="preserve"> in the early 1990s the number of vessels targeting swordfish began increasing and the fleet accounted for 40% of the total US swordfish catch in 2012. Observers were first placed onboard longline vessels in 1994</w:t>
      </w:r>
      <w:r w:rsidR="006855B9">
        <w:rPr>
          <w:szCs w:val="24"/>
        </w:rPr>
        <w:t>.</w:t>
      </w:r>
      <w:r w:rsidR="008354E7">
        <w:rPr>
          <w:szCs w:val="24"/>
        </w:rPr>
        <w:t xml:space="preserve"> </w:t>
      </w:r>
      <w:r w:rsidR="006D1EE3">
        <w:rPr>
          <w:color w:val="000000"/>
        </w:rPr>
        <w:t>I</w:t>
      </w:r>
      <w:r w:rsidR="006855B9" w:rsidRPr="004B4376">
        <w:rPr>
          <w:color w:val="000000"/>
        </w:rPr>
        <w:t>nteractions with protected sea turtles</w:t>
      </w:r>
      <w:r w:rsidR="006D1EE3">
        <w:rPr>
          <w:color w:val="000000"/>
        </w:rPr>
        <w:t xml:space="preserve"> caused the closure of</w:t>
      </w:r>
      <w:r w:rsidR="006D1EE3" w:rsidRPr="004B4376">
        <w:rPr>
          <w:color w:val="000000"/>
        </w:rPr>
        <w:t xml:space="preserve"> </w:t>
      </w:r>
      <w:r w:rsidR="006855B9" w:rsidRPr="004B4376">
        <w:rPr>
          <w:color w:val="000000"/>
        </w:rPr>
        <w:t xml:space="preserve">the shallow-set swordfish fishery from February 2001 to May 2004 (Gilman </w:t>
      </w:r>
      <w:r w:rsidR="006855B9" w:rsidRPr="00CE1816">
        <w:rPr>
          <w:i/>
          <w:color w:val="000000"/>
        </w:rPr>
        <w:t>et al.</w:t>
      </w:r>
      <w:r w:rsidR="006855B9">
        <w:rPr>
          <w:i/>
          <w:color w:val="000000"/>
        </w:rPr>
        <w:t>,</w:t>
      </w:r>
      <w:r w:rsidR="006855B9" w:rsidRPr="004B4376">
        <w:rPr>
          <w:color w:val="000000"/>
        </w:rPr>
        <w:t xml:space="preserve"> </w:t>
      </w:r>
      <w:r w:rsidR="006855B9" w:rsidRPr="004B4376">
        <w:rPr>
          <w:color w:val="000000"/>
        </w:rPr>
        <w:lastRenderedPageBreak/>
        <w:t>2007).</w:t>
      </w:r>
      <w:r w:rsidR="006855B9">
        <w:rPr>
          <w:color w:val="000000"/>
        </w:rPr>
        <w:t xml:space="preserve"> </w:t>
      </w:r>
      <w:r w:rsidR="006855B9" w:rsidRPr="004B4376">
        <w:rPr>
          <w:color w:val="000000"/>
        </w:rPr>
        <w:t xml:space="preserve"> During this time many vessels targeting swordfish began targeting tuna. A second closure occurred March</w:t>
      </w:r>
      <w:r w:rsidR="006D1EE3">
        <w:rPr>
          <w:color w:val="000000"/>
        </w:rPr>
        <w:t>–</w:t>
      </w:r>
      <w:r w:rsidR="006855B9" w:rsidRPr="004B4376">
        <w:rPr>
          <w:color w:val="000000"/>
        </w:rPr>
        <w:t>December 2006 when the Hawaii-based shallow-set longline fishery for swordfish reached the annual limit for interactions with loggerhead sea turtles (NMFS</w:t>
      </w:r>
      <w:r w:rsidR="006855B9">
        <w:rPr>
          <w:color w:val="000000"/>
        </w:rPr>
        <w:t>,</w:t>
      </w:r>
      <w:r w:rsidR="006855B9" w:rsidRPr="004B4376">
        <w:rPr>
          <w:color w:val="000000"/>
        </w:rPr>
        <w:t xml:space="preserve"> 2017). </w:t>
      </w:r>
      <w:r w:rsidR="006D1EE3">
        <w:rPr>
          <w:color w:val="000000"/>
        </w:rPr>
        <w:t>S</w:t>
      </w:r>
      <w:r w:rsidR="006855B9" w:rsidRPr="004B4376">
        <w:rPr>
          <w:color w:val="000000"/>
        </w:rPr>
        <w:t>everal changes to the reporting regulations</w:t>
      </w:r>
      <w:r w:rsidR="006D1EE3">
        <w:rPr>
          <w:color w:val="000000"/>
        </w:rPr>
        <w:t xml:space="preserve"> have occurred</w:t>
      </w:r>
      <w:r w:rsidR="006855B9" w:rsidRPr="004B4376">
        <w:rPr>
          <w:color w:val="000000"/>
        </w:rPr>
        <w:t xml:space="preserve"> since its onset in 1994 (Pacific Islands Region Office, 2017). Observer coverage varied significantly prior to 2000, with observer coverage between 3.3</w:t>
      </w:r>
      <w:r w:rsidR="006D1EE3">
        <w:rPr>
          <w:color w:val="000000"/>
        </w:rPr>
        <w:t xml:space="preserve"> and </w:t>
      </w:r>
      <w:r w:rsidR="006855B9" w:rsidRPr="004B4376">
        <w:rPr>
          <w:color w:val="000000"/>
        </w:rPr>
        <w:t>10.4 % for the entire fishery (NMFS</w:t>
      </w:r>
      <w:r w:rsidR="006855B9">
        <w:rPr>
          <w:color w:val="000000"/>
        </w:rPr>
        <w:t>,</w:t>
      </w:r>
      <w:r w:rsidR="006855B9" w:rsidRPr="004B4376">
        <w:rPr>
          <w:color w:val="000000"/>
        </w:rPr>
        <w:t xml:space="preserve"> 2017). Starting in 2001, the observer program had a target of 20% observer coverage on deep-set longline vessels and mandatory 100% observer coverage on shallow-set longline vessels.</w:t>
      </w:r>
    </w:p>
    <w:p w14:paraId="7F9226F2" w14:textId="77777777" w:rsidR="00E23C47" w:rsidRDefault="00E23C47" w:rsidP="00A31E7F">
      <w:pPr>
        <w:pStyle w:val="Heading1"/>
      </w:pPr>
      <w:r w:rsidRPr="00A31E7F">
        <w:t>Methods</w:t>
      </w:r>
      <w:bookmarkEnd w:id="0"/>
    </w:p>
    <w:p w14:paraId="24ED0921" w14:textId="77777777" w:rsidR="00060819" w:rsidRDefault="00010DEF" w:rsidP="00270BA9">
      <w:pPr>
        <w:pStyle w:val="Heading2"/>
      </w:pPr>
      <w:r>
        <w:t>Data Sources</w:t>
      </w:r>
    </w:p>
    <w:p w14:paraId="3483EA2A" w14:textId="7E48042B" w:rsidR="00270BA9" w:rsidRDefault="00270BA9" w:rsidP="00060819">
      <w:pPr>
        <w:rPr>
          <w:szCs w:val="24"/>
        </w:rPr>
      </w:pPr>
      <w:r>
        <w:rPr>
          <w:szCs w:val="24"/>
        </w:rPr>
        <w:t xml:space="preserve">The Pacific Islands Regional Fishery Observer Program (PIROP) provides detailed </w:t>
      </w:r>
      <w:r w:rsidR="00C824B0">
        <w:rPr>
          <w:szCs w:val="24"/>
        </w:rPr>
        <w:t xml:space="preserve">set-by-set data </w:t>
      </w:r>
      <w:r w:rsidR="006855B9">
        <w:rPr>
          <w:szCs w:val="24"/>
        </w:rPr>
        <w:t xml:space="preserve">on the Hawaii-based longline fishery </w:t>
      </w:r>
      <w:r w:rsidR="00C824B0">
        <w:rPr>
          <w:szCs w:val="24"/>
        </w:rPr>
        <w:t>including catch in numbers of fish and a variety of operational variables</w:t>
      </w:r>
      <w:r w:rsidR="0052372B">
        <w:rPr>
          <w:szCs w:val="24"/>
        </w:rPr>
        <w:t>, among them</w:t>
      </w:r>
      <w:r w:rsidR="00C824B0">
        <w:rPr>
          <w:szCs w:val="24"/>
        </w:rPr>
        <w:t xml:space="preserve">: location as latitude and longitude, vessel ID, hooks per float, total number of hooks set, type of bait used, and time longlines were set, </w:t>
      </w:r>
      <w:r w:rsidR="0097550A">
        <w:rPr>
          <w:szCs w:val="24"/>
        </w:rPr>
        <w:t xml:space="preserve">following the procedures outline in the PIROP observer manual </w:t>
      </w:r>
      <w:r w:rsidR="0097550A" w:rsidRPr="00F14EBB">
        <w:rPr>
          <w:szCs w:val="24"/>
        </w:rPr>
        <w:t>(</w:t>
      </w:r>
      <w:r w:rsidR="002D6713">
        <w:rPr>
          <w:szCs w:val="24"/>
        </w:rPr>
        <w:t>Pacific Islands Regional Office</w:t>
      </w:r>
      <w:r w:rsidR="00E33BD3">
        <w:rPr>
          <w:szCs w:val="24"/>
        </w:rPr>
        <w:t>,</w:t>
      </w:r>
      <w:r w:rsidR="002D6713">
        <w:rPr>
          <w:szCs w:val="24"/>
        </w:rPr>
        <w:t xml:space="preserve"> </w:t>
      </w:r>
      <w:r w:rsidR="0097550A" w:rsidRPr="00F14EBB">
        <w:rPr>
          <w:szCs w:val="24"/>
        </w:rPr>
        <w:t>2017)</w:t>
      </w:r>
      <w:r w:rsidR="00C824B0">
        <w:rPr>
          <w:szCs w:val="24"/>
        </w:rPr>
        <w:t>.</w:t>
      </w:r>
      <w:r w:rsidR="00B134A5">
        <w:rPr>
          <w:szCs w:val="24"/>
        </w:rPr>
        <w:t xml:space="preserve"> </w:t>
      </w:r>
      <w:r w:rsidR="0097550A">
        <w:rPr>
          <w:szCs w:val="24"/>
        </w:rPr>
        <w:t xml:space="preserve">The standardization uses this </w:t>
      </w:r>
      <w:r w:rsidR="00345600">
        <w:rPr>
          <w:szCs w:val="24"/>
        </w:rPr>
        <w:t>data set</w:t>
      </w:r>
      <w:r w:rsidR="0097550A">
        <w:rPr>
          <w:szCs w:val="24"/>
        </w:rPr>
        <w:t xml:space="preserve"> instead of the commercial logbook data to ensure the analyses were conducted according to ISC standards on using the best available science.</w:t>
      </w:r>
      <w:r w:rsidR="000D32F0">
        <w:rPr>
          <w:szCs w:val="24"/>
        </w:rPr>
        <w:t xml:space="preserve"> Data were </w:t>
      </w:r>
      <w:r w:rsidR="002E5D01">
        <w:rPr>
          <w:szCs w:val="24"/>
        </w:rPr>
        <w:t xml:space="preserve">extracted from the PIROP database </w:t>
      </w:r>
      <w:r w:rsidR="000D32F0">
        <w:rPr>
          <w:szCs w:val="24"/>
        </w:rPr>
        <w:t>on 10 October</w:t>
      </w:r>
      <w:r w:rsidR="00D002CF">
        <w:rPr>
          <w:szCs w:val="24"/>
        </w:rPr>
        <w:t xml:space="preserve"> 2017 for this analysis.</w:t>
      </w:r>
    </w:p>
    <w:p w14:paraId="43BB296B" w14:textId="30AE7D94" w:rsidR="0097550A" w:rsidRDefault="0097550A" w:rsidP="00060819">
      <w:pPr>
        <w:rPr>
          <w:szCs w:val="24"/>
        </w:rPr>
      </w:pPr>
      <w:r>
        <w:rPr>
          <w:szCs w:val="24"/>
        </w:rPr>
        <w:t xml:space="preserve">The environmental variables used in the standardization were obtained from publically available </w:t>
      </w:r>
      <w:r w:rsidR="00345600">
        <w:rPr>
          <w:szCs w:val="24"/>
        </w:rPr>
        <w:t>data set</w:t>
      </w:r>
      <w:r w:rsidR="00255755">
        <w:rPr>
          <w:szCs w:val="24"/>
        </w:rPr>
        <w:t>s</w:t>
      </w:r>
      <w:r>
        <w:rPr>
          <w:szCs w:val="24"/>
        </w:rPr>
        <w:t>. Sea Surface temperature</w:t>
      </w:r>
      <w:r w:rsidR="009059CE">
        <w:rPr>
          <w:szCs w:val="24"/>
        </w:rPr>
        <w:t>s (SST)</w:t>
      </w:r>
      <w:r>
        <w:rPr>
          <w:szCs w:val="24"/>
        </w:rPr>
        <w:t xml:space="preserve"> </w:t>
      </w:r>
      <w:r w:rsidR="00F56CE8">
        <w:rPr>
          <w:szCs w:val="24"/>
        </w:rPr>
        <w:t>from</w:t>
      </w:r>
      <w:r w:rsidR="00D838EB">
        <w:rPr>
          <w:szCs w:val="24"/>
        </w:rPr>
        <w:t xml:space="preserve"> January</w:t>
      </w:r>
      <w:r w:rsidR="00F56CE8">
        <w:rPr>
          <w:szCs w:val="24"/>
        </w:rPr>
        <w:t xml:space="preserve"> </w:t>
      </w:r>
      <w:r>
        <w:rPr>
          <w:szCs w:val="24"/>
        </w:rPr>
        <w:t>1994</w:t>
      </w:r>
      <w:r w:rsidR="001D7059">
        <w:rPr>
          <w:szCs w:val="24"/>
        </w:rPr>
        <w:t xml:space="preserve"> to </w:t>
      </w:r>
      <w:r>
        <w:rPr>
          <w:szCs w:val="24"/>
        </w:rPr>
        <w:t>October 2012</w:t>
      </w:r>
      <w:r w:rsidR="0043485A">
        <w:rPr>
          <w:szCs w:val="24"/>
        </w:rPr>
        <w:t xml:space="preserve"> </w:t>
      </w:r>
      <w:r w:rsidR="00327A8E">
        <w:rPr>
          <w:szCs w:val="24"/>
        </w:rPr>
        <w:t>were</w:t>
      </w:r>
      <w:r>
        <w:rPr>
          <w:szCs w:val="24"/>
        </w:rPr>
        <w:t xml:space="preserve"> monthly 0.1</w:t>
      </w:r>
      <w:r w:rsidR="001D7059">
        <w:rPr>
          <w:szCs w:val="24"/>
        </w:rPr>
        <w:t>°</w:t>
      </w:r>
      <w:r w:rsidR="009059CE">
        <w:rPr>
          <w:szCs w:val="24"/>
        </w:rPr>
        <w:t xml:space="preserve"> resolution</w:t>
      </w:r>
      <w:r>
        <w:rPr>
          <w:szCs w:val="24"/>
        </w:rPr>
        <w:t xml:space="preserve"> composites from </w:t>
      </w:r>
      <w:r w:rsidR="009059CE">
        <w:rPr>
          <w:szCs w:val="24"/>
        </w:rPr>
        <w:t xml:space="preserve">the </w:t>
      </w:r>
      <w:r w:rsidR="009059CE" w:rsidRPr="009059CE">
        <w:rPr>
          <w:szCs w:val="24"/>
        </w:rPr>
        <w:t xml:space="preserve">AVHRR Pathfinder v4.1 </w:t>
      </w:r>
      <w:r w:rsidR="009059CE">
        <w:rPr>
          <w:szCs w:val="24"/>
        </w:rPr>
        <w:t>satellite. SST from November 2012</w:t>
      </w:r>
      <w:r w:rsidR="001D7059">
        <w:rPr>
          <w:szCs w:val="24"/>
        </w:rPr>
        <w:t xml:space="preserve"> to </w:t>
      </w:r>
      <w:r w:rsidR="009059CE">
        <w:rPr>
          <w:szCs w:val="24"/>
        </w:rPr>
        <w:t xml:space="preserve">present </w:t>
      </w:r>
      <w:r w:rsidR="00327A8E">
        <w:rPr>
          <w:szCs w:val="24"/>
        </w:rPr>
        <w:t>were</w:t>
      </w:r>
      <w:r w:rsidR="009059CE">
        <w:rPr>
          <w:szCs w:val="24"/>
        </w:rPr>
        <w:t xml:space="preserve"> </w:t>
      </w:r>
      <w:r w:rsidR="002D6713">
        <w:rPr>
          <w:szCs w:val="24"/>
        </w:rPr>
        <w:t xml:space="preserve">based on </w:t>
      </w:r>
      <w:r w:rsidR="009059CE">
        <w:rPr>
          <w:szCs w:val="24"/>
        </w:rPr>
        <w:t xml:space="preserve">monthly 0.5° resolution composites from the </w:t>
      </w:r>
      <w:r w:rsidR="009059CE" w:rsidRPr="009059CE">
        <w:rPr>
          <w:szCs w:val="24"/>
        </w:rPr>
        <w:t>NOAA GOES-E/W</w:t>
      </w:r>
      <w:r w:rsidR="009059CE">
        <w:rPr>
          <w:szCs w:val="24"/>
        </w:rPr>
        <w:t xml:space="preserve"> satellite. Both </w:t>
      </w:r>
      <w:r w:rsidR="002D6713">
        <w:rPr>
          <w:szCs w:val="24"/>
        </w:rPr>
        <w:t xml:space="preserve">SST time series </w:t>
      </w:r>
      <w:r w:rsidR="009059CE">
        <w:rPr>
          <w:szCs w:val="24"/>
        </w:rPr>
        <w:t>were downloaded from Pacific Islands Fisheries Science Center (PIFSC) OceanWatch</w:t>
      </w:r>
      <w:r w:rsidR="006220B9">
        <w:rPr>
          <w:szCs w:val="24"/>
        </w:rPr>
        <w:t xml:space="preserve"> (2017)</w:t>
      </w:r>
      <w:r w:rsidR="00F14EBB">
        <w:rPr>
          <w:szCs w:val="24"/>
        </w:rPr>
        <w:t>.</w:t>
      </w:r>
      <w:r w:rsidR="009059CE">
        <w:rPr>
          <w:szCs w:val="24"/>
        </w:rPr>
        <w:t xml:space="preserve"> Both the Southern Oscillation Index (SOI) and the Pacific Decadal Oscillation Index (PDO) </w:t>
      </w:r>
      <w:r w:rsidR="00327A8E">
        <w:rPr>
          <w:szCs w:val="24"/>
        </w:rPr>
        <w:t>were</w:t>
      </w:r>
      <w:r w:rsidR="009059CE">
        <w:rPr>
          <w:szCs w:val="24"/>
        </w:rPr>
        <w:t xml:space="preserve"> monthly region wide indices</w:t>
      </w:r>
      <w:r w:rsidR="00AA72CC">
        <w:rPr>
          <w:szCs w:val="24"/>
        </w:rPr>
        <w:t xml:space="preserve"> (NOAA NCDC</w:t>
      </w:r>
      <w:r w:rsidR="00E33BD3">
        <w:rPr>
          <w:szCs w:val="24"/>
        </w:rPr>
        <w:t>,</w:t>
      </w:r>
      <w:r w:rsidR="00AA72CC">
        <w:rPr>
          <w:szCs w:val="24"/>
        </w:rPr>
        <w:t xml:space="preserve"> 2017)</w:t>
      </w:r>
      <w:r w:rsidR="009059CE">
        <w:rPr>
          <w:szCs w:val="24"/>
        </w:rPr>
        <w:t>.</w:t>
      </w:r>
      <w:r w:rsidR="00AA72CC">
        <w:rPr>
          <w:szCs w:val="24"/>
        </w:rPr>
        <w:t xml:space="preserve"> </w:t>
      </w:r>
      <w:r w:rsidR="009059CE">
        <w:rPr>
          <w:szCs w:val="24"/>
        </w:rPr>
        <w:t xml:space="preserve">Lunar </w:t>
      </w:r>
      <w:r w:rsidR="002D6713">
        <w:rPr>
          <w:szCs w:val="24"/>
        </w:rPr>
        <w:t>i</w:t>
      </w:r>
      <w:r w:rsidR="009059CE">
        <w:rPr>
          <w:szCs w:val="24"/>
        </w:rPr>
        <w:t xml:space="preserve">llumination </w:t>
      </w:r>
      <w:r w:rsidR="002D6713">
        <w:rPr>
          <w:szCs w:val="24"/>
        </w:rPr>
        <w:t>data consisted of</w:t>
      </w:r>
      <w:r w:rsidR="009059CE">
        <w:rPr>
          <w:szCs w:val="24"/>
        </w:rPr>
        <w:t xml:space="preserve"> value</w:t>
      </w:r>
      <w:r w:rsidR="002D6713">
        <w:rPr>
          <w:szCs w:val="24"/>
        </w:rPr>
        <w:t>s</w:t>
      </w:r>
      <w:r w:rsidR="009059CE">
        <w:rPr>
          <w:szCs w:val="24"/>
        </w:rPr>
        <w:t xml:space="preserve"> between 0 and 1 which </w:t>
      </w:r>
      <w:r w:rsidR="002D6713">
        <w:rPr>
          <w:szCs w:val="24"/>
        </w:rPr>
        <w:t xml:space="preserve">measured </w:t>
      </w:r>
      <w:r w:rsidR="009059CE">
        <w:rPr>
          <w:szCs w:val="24"/>
        </w:rPr>
        <w:t xml:space="preserve">the proportion of the moon illuminated above Hawaii. It can be used as a proxy to </w:t>
      </w:r>
      <w:r w:rsidR="00327A8E">
        <w:rPr>
          <w:szCs w:val="24"/>
        </w:rPr>
        <w:t xml:space="preserve">indicate lunar stage with 0 </w:t>
      </w:r>
      <w:r w:rsidR="009059CE">
        <w:rPr>
          <w:szCs w:val="24"/>
        </w:rPr>
        <w:t xml:space="preserve">indicating a new moon and 1 indicating a full moon </w:t>
      </w:r>
      <w:r w:rsidR="009059CE" w:rsidRPr="00F14EBB">
        <w:rPr>
          <w:szCs w:val="24"/>
        </w:rPr>
        <w:t>(US Naval Observatory</w:t>
      </w:r>
      <w:r w:rsidR="00F14EBB" w:rsidRPr="00F14EBB">
        <w:rPr>
          <w:szCs w:val="24"/>
        </w:rPr>
        <w:t>, 2017</w:t>
      </w:r>
      <w:r w:rsidR="009059CE" w:rsidRPr="00F14EBB">
        <w:rPr>
          <w:szCs w:val="24"/>
        </w:rPr>
        <w:t>).</w:t>
      </w:r>
      <w:r w:rsidR="009059CE">
        <w:rPr>
          <w:szCs w:val="24"/>
        </w:rPr>
        <w:t xml:space="preserve"> Mixed layer depth </w:t>
      </w:r>
      <w:r w:rsidR="006B13F0">
        <w:rPr>
          <w:szCs w:val="24"/>
        </w:rPr>
        <w:t xml:space="preserve">(MLD) </w:t>
      </w:r>
      <w:r w:rsidR="00406932">
        <w:rPr>
          <w:szCs w:val="24"/>
        </w:rPr>
        <w:t>were</w:t>
      </w:r>
      <w:r w:rsidR="002D6713">
        <w:rPr>
          <w:szCs w:val="24"/>
        </w:rPr>
        <w:t xml:space="preserve"> based on</w:t>
      </w:r>
      <w:r w:rsidR="00406932">
        <w:rPr>
          <w:szCs w:val="24"/>
        </w:rPr>
        <w:t xml:space="preserve"> 0.33°</w:t>
      </w:r>
      <w:r w:rsidR="00A63622">
        <w:rPr>
          <w:szCs w:val="24"/>
        </w:rPr>
        <w:t xml:space="preserve"> </w:t>
      </w:r>
      <w:r w:rsidR="00961706">
        <w:rPr>
          <w:szCs w:val="24"/>
        </w:rPr>
        <w:t>×</w:t>
      </w:r>
      <w:r w:rsidR="00A63622">
        <w:rPr>
          <w:szCs w:val="24"/>
        </w:rPr>
        <w:t xml:space="preserve"> </w:t>
      </w:r>
      <w:r w:rsidR="00406932">
        <w:rPr>
          <w:szCs w:val="24"/>
        </w:rPr>
        <w:t>1°</w:t>
      </w:r>
      <w:r w:rsidR="002D6713">
        <w:rPr>
          <w:szCs w:val="24"/>
        </w:rPr>
        <w:t xml:space="preserve"> </w:t>
      </w:r>
      <w:r w:rsidR="00406932">
        <w:rPr>
          <w:szCs w:val="24"/>
        </w:rPr>
        <w:t>monthly mean</w:t>
      </w:r>
      <w:r w:rsidR="002D6713">
        <w:rPr>
          <w:szCs w:val="24"/>
        </w:rPr>
        <w:t>s of</w:t>
      </w:r>
      <w:r w:rsidR="00406932">
        <w:rPr>
          <w:szCs w:val="24"/>
        </w:rPr>
        <w:t xml:space="preserve"> </w:t>
      </w:r>
      <w:r w:rsidR="00406932" w:rsidRPr="00406932">
        <w:rPr>
          <w:iCs/>
          <w:szCs w:val="24"/>
        </w:rPr>
        <w:t>GODAS data provided by the NOAA/OAR/ESRL PSD, Boulder, Colorado, USA</w:t>
      </w:r>
      <w:r w:rsidR="006C416F">
        <w:rPr>
          <w:rStyle w:val="FootnoteReference"/>
          <w:iCs/>
          <w:szCs w:val="24"/>
        </w:rPr>
        <w:footnoteReference w:id="2"/>
      </w:r>
      <w:r w:rsidR="006C416F">
        <w:rPr>
          <w:iCs/>
          <w:szCs w:val="24"/>
        </w:rPr>
        <w:t>.</w:t>
      </w:r>
    </w:p>
    <w:p w14:paraId="7E30D7BE" w14:textId="77777777" w:rsidR="0097550A" w:rsidRDefault="0097550A" w:rsidP="0097550A">
      <w:pPr>
        <w:pStyle w:val="Heading2"/>
      </w:pPr>
      <w:r>
        <w:t>CPUE Standardization</w:t>
      </w:r>
    </w:p>
    <w:p w14:paraId="32D1871D" w14:textId="6EBD1BC7" w:rsidR="00B83BCA" w:rsidRDefault="00B83BCA" w:rsidP="00060819">
      <w:pPr>
        <w:rPr>
          <w:szCs w:val="24"/>
        </w:rPr>
      </w:pPr>
      <w:r>
        <w:rPr>
          <w:szCs w:val="24"/>
        </w:rPr>
        <w:t xml:space="preserve">Swordfish CPUE were divided into three time series before standardization to account for significant differences in the </w:t>
      </w:r>
      <w:r w:rsidR="002D6713">
        <w:rPr>
          <w:szCs w:val="24"/>
        </w:rPr>
        <w:t>shallow</w:t>
      </w:r>
      <w:r w:rsidR="006C416F">
        <w:rPr>
          <w:szCs w:val="24"/>
        </w:rPr>
        <w:t>-</w:t>
      </w:r>
      <w:r w:rsidR="002D6713">
        <w:rPr>
          <w:szCs w:val="24"/>
        </w:rPr>
        <w:t xml:space="preserve"> and </w:t>
      </w:r>
      <w:r w:rsidR="00F764D8">
        <w:rPr>
          <w:szCs w:val="24"/>
        </w:rPr>
        <w:t>deep-set</w:t>
      </w:r>
      <w:r w:rsidR="002D6713">
        <w:rPr>
          <w:szCs w:val="24"/>
        </w:rPr>
        <w:t xml:space="preserve"> fisheries</w:t>
      </w:r>
      <w:r w:rsidR="008F53BD">
        <w:rPr>
          <w:szCs w:val="24"/>
        </w:rPr>
        <w:t xml:space="preserve"> and regulation changes</w:t>
      </w:r>
      <w:r>
        <w:rPr>
          <w:szCs w:val="24"/>
        </w:rPr>
        <w:t xml:space="preserve">. </w:t>
      </w:r>
      <w:r w:rsidR="00F764D8">
        <w:rPr>
          <w:szCs w:val="24"/>
        </w:rPr>
        <w:t>Deep-set</w:t>
      </w:r>
      <w:r>
        <w:rPr>
          <w:szCs w:val="24"/>
        </w:rPr>
        <w:t xml:space="preserve"> data were standardized as a single time series from 1994</w:t>
      </w:r>
      <w:r w:rsidR="001D7059">
        <w:rPr>
          <w:szCs w:val="24"/>
        </w:rPr>
        <w:t xml:space="preserve"> to </w:t>
      </w:r>
      <w:r>
        <w:rPr>
          <w:szCs w:val="24"/>
        </w:rPr>
        <w:t xml:space="preserve">2016 </w:t>
      </w:r>
      <w:r>
        <w:rPr>
          <w:szCs w:val="24"/>
        </w:rPr>
        <w:lastRenderedPageBreak/>
        <w:t xml:space="preserve">and </w:t>
      </w:r>
      <w:r w:rsidR="000D0A0F">
        <w:rPr>
          <w:szCs w:val="24"/>
        </w:rPr>
        <w:t>shallow-set</w:t>
      </w:r>
      <w:r>
        <w:rPr>
          <w:szCs w:val="24"/>
        </w:rPr>
        <w:t xml:space="preserve"> data were standardized from 1994</w:t>
      </w:r>
      <w:r w:rsidR="001D7059">
        <w:rPr>
          <w:szCs w:val="24"/>
        </w:rPr>
        <w:t xml:space="preserve"> to </w:t>
      </w:r>
      <w:r>
        <w:rPr>
          <w:szCs w:val="24"/>
        </w:rPr>
        <w:t>2000 and 2004</w:t>
      </w:r>
      <w:r w:rsidR="001D7059">
        <w:rPr>
          <w:szCs w:val="24"/>
        </w:rPr>
        <w:t xml:space="preserve"> to </w:t>
      </w:r>
      <w:r>
        <w:rPr>
          <w:szCs w:val="24"/>
        </w:rPr>
        <w:t>2016 to account for</w:t>
      </w:r>
      <w:r w:rsidR="00FA7D5E">
        <w:rPr>
          <w:szCs w:val="24"/>
        </w:rPr>
        <w:t xml:space="preserve"> the fishery</w:t>
      </w:r>
      <w:r>
        <w:rPr>
          <w:szCs w:val="24"/>
        </w:rPr>
        <w:t xml:space="preserve"> closure and </w:t>
      </w:r>
      <w:r w:rsidR="00FA7D5E">
        <w:rPr>
          <w:szCs w:val="24"/>
        </w:rPr>
        <w:t xml:space="preserve">changes in </w:t>
      </w:r>
      <w:r>
        <w:rPr>
          <w:szCs w:val="24"/>
        </w:rPr>
        <w:t xml:space="preserve">regulations which changed the fishing practices of the fleet. </w:t>
      </w:r>
    </w:p>
    <w:p w14:paraId="2B393D60" w14:textId="693FEB4F" w:rsidR="00AA6685" w:rsidRDefault="006B13F0" w:rsidP="00060819">
      <w:pPr>
        <w:rPr>
          <w:szCs w:val="24"/>
        </w:rPr>
      </w:pPr>
      <w:r>
        <w:rPr>
          <w:szCs w:val="24"/>
        </w:rPr>
        <w:t>Swordfish CPUE standardiz</w:t>
      </w:r>
      <w:r w:rsidR="009F4A1C">
        <w:rPr>
          <w:szCs w:val="24"/>
        </w:rPr>
        <w:t>ations were attempted</w:t>
      </w:r>
      <w:r>
        <w:rPr>
          <w:szCs w:val="24"/>
        </w:rPr>
        <w:t xml:space="preserve"> using four different generalized linear </w:t>
      </w:r>
      <w:r w:rsidR="00255E99">
        <w:rPr>
          <w:szCs w:val="24"/>
        </w:rPr>
        <w:t xml:space="preserve">Mixed </w:t>
      </w:r>
      <w:r>
        <w:rPr>
          <w:szCs w:val="24"/>
        </w:rPr>
        <w:t>models (GLM</w:t>
      </w:r>
      <w:r w:rsidR="00255E99">
        <w:rPr>
          <w:szCs w:val="24"/>
        </w:rPr>
        <w:t>M</w:t>
      </w:r>
      <w:r>
        <w:rPr>
          <w:szCs w:val="24"/>
        </w:rPr>
        <w:t xml:space="preserve">s): delta-lognormal, </w:t>
      </w:r>
      <w:r w:rsidR="00456509">
        <w:rPr>
          <w:szCs w:val="24"/>
        </w:rPr>
        <w:t>Poisson</w:t>
      </w:r>
      <w:r>
        <w:rPr>
          <w:szCs w:val="24"/>
        </w:rPr>
        <w:t xml:space="preserve">, negative binomial, and zero-inflated negative binomial. </w:t>
      </w:r>
      <w:r w:rsidR="00A65D11">
        <w:rPr>
          <w:szCs w:val="24"/>
        </w:rPr>
        <w:t xml:space="preserve">Model selection was based upon </w:t>
      </w:r>
      <w:r w:rsidR="002D6713">
        <w:rPr>
          <w:szCs w:val="24"/>
        </w:rPr>
        <w:t xml:space="preserve">goodness of fit using </w:t>
      </w:r>
      <w:r w:rsidR="00A65D11">
        <w:rPr>
          <w:szCs w:val="24"/>
        </w:rPr>
        <w:t xml:space="preserve">AIC or percent deviance explained. The </w:t>
      </w:r>
      <w:r w:rsidR="00BE0335">
        <w:rPr>
          <w:szCs w:val="24"/>
        </w:rPr>
        <w:t xml:space="preserve">negative binomial was preferred over the zero-inflated negative binomial model based upon a Chi-squared likelihood ratio test. The </w:t>
      </w:r>
      <w:r w:rsidR="00A65D11">
        <w:rPr>
          <w:szCs w:val="24"/>
        </w:rPr>
        <w:t>Poisson</w:t>
      </w:r>
      <w:r w:rsidR="00BE0335">
        <w:rPr>
          <w:szCs w:val="24"/>
        </w:rPr>
        <w:t xml:space="preserve"> and </w:t>
      </w:r>
      <w:r w:rsidR="00A65D11">
        <w:rPr>
          <w:szCs w:val="24"/>
        </w:rPr>
        <w:t xml:space="preserve">negative binomial models explained very little of the percent deviance explained </w:t>
      </w:r>
      <w:r w:rsidR="002E5D01">
        <w:rPr>
          <w:szCs w:val="24"/>
        </w:rPr>
        <w:t xml:space="preserve">(less than 5%) </w:t>
      </w:r>
      <w:r w:rsidR="00A65D11">
        <w:rPr>
          <w:szCs w:val="24"/>
        </w:rPr>
        <w:t>and had poor model fit</w:t>
      </w:r>
      <w:r w:rsidR="002E5D01">
        <w:rPr>
          <w:szCs w:val="24"/>
        </w:rPr>
        <w:t>s to the data</w:t>
      </w:r>
      <w:r w:rsidR="00A65D11">
        <w:rPr>
          <w:szCs w:val="24"/>
        </w:rPr>
        <w:t xml:space="preserve"> and so the delta-lognormal model was chosen to standardize the data</w:t>
      </w:r>
      <w:r w:rsidR="0004609F">
        <w:rPr>
          <w:szCs w:val="24"/>
        </w:rPr>
        <w:t xml:space="preserve"> (</w:t>
      </w:r>
      <w:r w:rsidR="0004609F">
        <w:rPr>
          <w:szCs w:val="24"/>
        </w:rPr>
        <w:fldChar w:fldCharType="begin"/>
      </w:r>
      <w:r w:rsidR="0004609F">
        <w:rPr>
          <w:szCs w:val="24"/>
        </w:rPr>
        <w:instrText xml:space="preserve"> REF _Ref500488848 \h </w:instrText>
      </w:r>
      <w:r w:rsidR="0004609F">
        <w:rPr>
          <w:szCs w:val="24"/>
        </w:rPr>
      </w:r>
      <w:r w:rsidR="0004609F">
        <w:rPr>
          <w:szCs w:val="24"/>
        </w:rPr>
        <w:fldChar w:fldCharType="separate"/>
      </w:r>
      <w:r w:rsidR="00E33BD3">
        <w:t xml:space="preserve">Table </w:t>
      </w:r>
      <w:r w:rsidR="00E33BD3">
        <w:rPr>
          <w:noProof/>
        </w:rPr>
        <w:t>1</w:t>
      </w:r>
      <w:r w:rsidR="0004609F">
        <w:rPr>
          <w:szCs w:val="24"/>
        </w:rPr>
        <w:fldChar w:fldCharType="end"/>
      </w:r>
      <w:r w:rsidR="0004609F">
        <w:rPr>
          <w:szCs w:val="24"/>
        </w:rPr>
        <w:t>)</w:t>
      </w:r>
      <w:r w:rsidR="00A65D11">
        <w:rPr>
          <w:szCs w:val="24"/>
        </w:rPr>
        <w:t>.</w:t>
      </w:r>
      <w:r w:rsidR="00D86C97">
        <w:rPr>
          <w:szCs w:val="24"/>
        </w:rPr>
        <w:t xml:space="preserve"> </w:t>
      </w:r>
    </w:p>
    <w:p w14:paraId="4DF45D8C" w14:textId="0C4D69AA" w:rsidR="00B6042F" w:rsidRDefault="003A6E1A" w:rsidP="00060819">
      <w:pPr>
        <w:rPr>
          <w:szCs w:val="24"/>
        </w:rPr>
      </w:pPr>
      <w:r>
        <w:rPr>
          <w:szCs w:val="24"/>
        </w:rPr>
        <w:t xml:space="preserve">Standardization with a delta-lognormal model </w:t>
      </w:r>
      <w:r w:rsidR="001D7059">
        <w:rPr>
          <w:szCs w:val="24"/>
        </w:rPr>
        <w:t xml:space="preserve">is made up </w:t>
      </w:r>
      <w:r>
        <w:rPr>
          <w:szCs w:val="24"/>
        </w:rPr>
        <w:t xml:space="preserve">of two steps: first, fitting of the entire </w:t>
      </w:r>
      <w:r w:rsidR="00345600">
        <w:rPr>
          <w:szCs w:val="24"/>
        </w:rPr>
        <w:t>data set</w:t>
      </w:r>
      <w:r>
        <w:rPr>
          <w:szCs w:val="24"/>
        </w:rPr>
        <w:t xml:space="preserve"> with a binomial model to estimate the probability of a positive catch, second, fitting the positive catches only with a lognormal model. </w:t>
      </w:r>
      <w:r w:rsidR="00B6042F">
        <w:rPr>
          <w:szCs w:val="24"/>
        </w:rPr>
        <w:t>The late shallow time series did not include the binomial component as</w:t>
      </w:r>
      <w:r w:rsidR="00D002CF">
        <w:rPr>
          <w:szCs w:val="24"/>
        </w:rPr>
        <w:t xml:space="preserve"> </w:t>
      </w:r>
      <w:r w:rsidR="006C416F">
        <w:rPr>
          <w:szCs w:val="24"/>
        </w:rPr>
        <w:t xml:space="preserve">more than </w:t>
      </w:r>
      <w:r w:rsidR="00B6042F">
        <w:rPr>
          <w:szCs w:val="24"/>
        </w:rPr>
        <w:t xml:space="preserve">99% of the </w:t>
      </w:r>
      <w:r w:rsidR="00D002CF">
        <w:rPr>
          <w:szCs w:val="24"/>
        </w:rPr>
        <w:t>sets caught at least one swordfish</w:t>
      </w:r>
      <w:r w:rsidR="00B6042F">
        <w:rPr>
          <w:szCs w:val="24"/>
        </w:rPr>
        <w:t xml:space="preserve"> and the probability of having a positive catch would be very close to one</w:t>
      </w:r>
      <w:r w:rsidR="00D002CF">
        <w:rPr>
          <w:szCs w:val="24"/>
        </w:rPr>
        <w:t xml:space="preserve"> for each year</w:t>
      </w:r>
      <w:r w:rsidR="00B6042F">
        <w:rPr>
          <w:szCs w:val="24"/>
        </w:rPr>
        <w:t xml:space="preserve">. </w:t>
      </w:r>
      <w:r w:rsidR="00534BEF">
        <w:rPr>
          <w:szCs w:val="24"/>
        </w:rPr>
        <w:t xml:space="preserve">The response variable for the binomial model </w:t>
      </w:r>
      <w:r w:rsidR="0036763F">
        <w:rPr>
          <w:szCs w:val="24"/>
        </w:rPr>
        <w:t xml:space="preserve">was </w:t>
      </w:r>
      <w:r w:rsidR="00534BEF">
        <w:rPr>
          <w:szCs w:val="24"/>
        </w:rPr>
        <w:t>a 0/1 indicating if a swordfish was caught in a set and for the lognormal model was the number of fish caught per 1000 hooks. Fifteen explanatory variables were explored for each model: Year, Quarter, Bait Type, and Hooks Per Float (HPF) were included as factors</w:t>
      </w:r>
      <w:r w:rsidR="00DD7A36">
        <w:rPr>
          <w:szCs w:val="24"/>
        </w:rPr>
        <w:t>;</w:t>
      </w:r>
      <w:r w:rsidR="00534BEF">
        <w:rPr>
          <w:szCs w:val="24"/>
        </w:rPr>
        <w:t xml:space="preserve"> SST, MLD, number of Hooks Per Set (HPSet), Lunar Illumination (Illum), PDO, SOI, Latitude, and Longitude were included as continuous variables</w:t>
      </w:r>
      <w:r w:rsidR="003D322A">
        <w:rPr>
          <w:szCs w:val="24"/>
        </w:rPr>
        <w:t>; and permit number, a proxy for vessel, was included as a random effect</w:t>
      </w:r>
      <w:r w:rsidR="00534BEF">
        <w:rPr>
          <w:szCs w:val="24"/>
        </w:rPr>
        <w:t xml:space="preserve">. The time the set began, indicating when the lines were first put into the water, was tested as two different variables: as a continuous variable using the actual time recorded </w:t>
      </w:r>
      <w:r w:rsidR="006535E5">
        <w:rPr>
          <w:szCs w:val="24"/>
        </w:rPr>
        <w:t xml:space="preserve">(BeginSetTime) </w:t>
      </w:r>
      <w:r w:rsidR="00534BEF">
        <w:rPr>
          <w:szCs w:val="24"/>
        </w:rPr>
        <w:t xml:space="preserve">and as a factor with four levels indicating the time of day </w:t>
      </w:r>
      <w:r w:rsidR="006A2162">
        <w:rPr>
          <w:szCs w:val="24"/>
        </w:rPr>
        <w:t>divided at midnight, 0600, noon, and 1800</w:t>
      </w:r>
      <w:r w:rsidR="006535E5">
        <w:rPr>
          <w:szCs w:val="24"/>
        </w:rPr>
        <w:t xml:space="preserve"> (Begin)</w:t>
      </w:r>
      <w:r w:rsidR="006A2162">
        <w:rPr>
          <w:szCs w:val="24"/>
        </w:rPr>
        <w:t>.</w:t>
      </w:r>
      <w:r w:rsidR="00534BEF">
        <w:rPr>
          <w:szCs w:val="24"/>
        </w:rPr>
        <w:t xml:space="preserve"> </w:t>
      </w:r>
    </w:p>
    <w:p w14:paraId="32B59D40" w14:textId="211ADA2F" w:rsidR="00A65D11" w:rsidRDefault="00534BEF" w:rsidP="00060819">
      <w:pPr>
        <w:rPr>
          <w:szCs w:val="24"/>
        </w:rPr>
      </w:pPr>
      <w:r>
        <w:rPr>
          <w:szCs w:val="24"/>
        </w:rPr>
        <w:t xml:space="preserve">Explanatory variables were added </w:t>
      </w:r>
      <w:r w:rsidR="00B6042F">
        <w:rPr>
          <w:szCs w:val="24"/>
        </w:rPr>
        <w:t>using</w:t>
      </w:r>
      <w:r>
        <w:rPr>
          <w:szCs w:val="24"/>
        </w:rPr>
        <w:t xml:space="preserve"> forwa</w:t>
      </w:r>
      <w:r w:rsidR="00B6042F">
        <w:rPr>
          <w:szCs w:val="24"/>
        </w:rPr>
        <w:t>rd stepwise selection</w:t>
      </w:r>
      <w:r>
        <w:rPr>
          <w:szCs w:val="24"/>
        </w:rPr>
        <w:t xml:space="preserve"> with variables being selected based upon the lowest AIC, most deviance explained, and if they </w:t>
      </w:r>
      <w:r w:rsidR="00327A8E">
        <w:rPr>
          <w:szCs w:val="24"/>
        </w:rPr>
        <w:t>were</w:t>
      </w:r>
      <w:r>
        <w:rPr>
          <w:szCs w:val="24"/>
        </w:rPr>
        <w:t xml:space="preserve"> statistically significant based upon a Chi-squared likelihood ratio test.</w:t>
      </w:r>
      <w:r w:rsidR="00A111C9">
        <w:rPr>
          <w:szCs w:val="24"/>
        </w:rPr>
        <w:t xml:space="preserve"> Additional variables were not included if they were not significant based upon the likelihood test</w:t>
      </w:r>
      <w:r w:rsidR="00E179AD">
        <w:rPr>
          <w:szCs w:val="24"/>
        </w:rPr>
        <w:t xml:space="preserve"> or if they increased the percent deviance explained by less than 0.25% </w:t>
      </w:r>
      <w:r w:rsidR="00E179AD" w:rsidRPr="00AB12A4">
        <w:rPr>
          <w:szCs w:val="24"/>
        </w:rPr>
        <w:t>(</w:t>
      </w:r>
      <w:r w:rsidR="00AC2676">
        <w:rPr>
          <w:szCs w:val="24"/>
        </w:rPr>
        <w:t xml:space="preserve">Bigelow </w:t>
      </w:r>
      <w:r w:rsidR="00AC2676" w:rsidRPr="007860D4">
        <w:rPr>
          <w:i/>
          <w:szCs w:val="24"/>
        </w:rPr>
        <w:t>et al.</w:t>
      </w:r>
      <w:r w:rsidR="00AC2676">
        <w:rPr>
          <w:szCs w:val="24"/>
        </w:rPr>
        <w:t xml:space="preserve">, 1999; </w:t>
      </w:r>
      <w:r w:rsidR="00E179AD" w:rsidRPr="00AB12A4">
        <w:rPr>
          <w:szCs w:val="24"/>
        </w:rPr>
        <w:t>Maunder and Punt 2004)</w:t>
      </w:r>
      <w:r w:rsidR="00A111C9">
        <w:rPr>
          <w:szCs w:val="24"/>
        </w:rPr>
        <w:t xml:space="preserve">. Final models for each </w:t>
      </w:r>
      <w:r w:rsidR="00E179AD">
        <w:rPr>
          <w:szCs w:val="24"/>
        </w:rPr>
        <w:t>time series</w:t>
      </w:r>
      <w:r w:rsidR="00A111C9">
        <w:rPr>
          <w:szCs w:val="24"/>
        </w:rPr>
        <w:t xml:space="preserve"> are in</w:t>
      </w:r>
      <w:r w:rsidR="00A83490">
        <w:rPr>
          <w:szCs w:val="24"/>
        </w:rPr>
        <w:t xml:space="preserve"> </w:t>
      </w:r>
      <w:r w:rsidR="00A83490">
        <w:rPr>
          <w:szCs w:val="24"/>
        </w:rPr>
        <w:fldChar w:fldCharType="begin"/>
      </w:r>
      <w:r w:rsidR="00A83490">
        <w:rPr>
          <w:szCs w:val="24"/>
        </w:rPr>
        <w:instrText xml:space="preserve"> REF _Ref500488951 \h </w:instrText>
      </w:r>
      <w:r w:rsidR="00A83490">
        <w:rPr>
          <w:szCs w:val="24"/>
        </w:rPr>
      </w:r>
      <w:r w:rsidR="00A83490">
        <w:rPr>
          <w:szCs w:val="24"/>
        </w:rPr>
        <w:fldChar w:fldCharType="separate"/>
      </w:r>
      <w:r w:rsidR="00E33BD3">
        <w:t xml:space="preserve">Table </w:t>
      </w:r>
      <w:r w:rsidR="00E33BD3">
        <w:rPr>
          <w:noProof/>
        </w:rPr>
        <w:t>2</w:t>
      </w:r>
      <w:r w:rsidR="00A83490">
        <w:rPr>
          <w:szCs w:val="24"/>
        </w:rPr>
        <w:fldChar w:fldCharType="end"/>
      </w:r>
      <w:r w:rsidR="00A111C9">
        <w:rPr>
          <w:szCs w:val="24"/>
        </w:rPr>
        <w:t>.</w:t>
      </w:r>
      <w:r w:rsidR="00B6042F">
        <w:rPr>
          <w:szCs w:val="24"/>
        </w:rPr>
        <w:t xml:space="preserve"> </w:t>
      </w:r>
    </w:p>
    <w:p w14:paraId="7C5E6E79" w14:textId="43449884" w:rsidR="00D002CF" w:rsidRPr="00600233" w:rsidRDefault="00B6042F" w:rsidP="00060819">
      <w:pPr>
        <w:rPr>
          <w:szCs w:val="24"/>
        </w:rPr>
      </w:pPr>
      <w:r>
        <w:rPr>
          <w:szCs w:val="24"/>
        </w:rPr>
        <w:t xml:space="preserve">Annual mean CPUE was calculated from the final binomial and lognormal models using the </w:t>
      </w:r>
      <w:r w:rsidR="008F3E3C">
        <w:rPr>
          <w:szCs w:val="24"/>
        </w:rPr>
        <w:t>estimated marginal</w:t>
      </w:r>
      <w:r>
        <w:rPr>
          <w:szCs w:val="24"/>
        </w:rPr>
        <w:t xml:space="preserve"> mean</w:t>
      </w:r>
      <w:r w:rsidR="008F3E3C">
        <w:rPr>
          <w:szCs w:val="24"/>
        </w:rPr>
        <w:t>s</w:t>
      </w:r>
      <w:r>
        <w:rPr>
          <w:szCs w:val="24"/>
        </w:rPr>
        <w:t xml:space="preserve"> package in R (</w:t>
      </w:r>
      <w:r w:rsidR="008F3E3C">
        <w:rPr>
          <w:szCs w:val="24"/>
        </w:rPr>
        <w:t>em</w:t>
      </w:r>
      <w:r>
        <w:rPr>
          <w:szCs w:val="24"/>
        </w:rPr>
        <w:t>means</w:t>
      </w:r>
      <w:r w:rsidR="0077503F">
        <w:rPr>
          <w:szCs w:val="24"/>
        </w:rPr>
        <w:t>,</w:t>
      </w:r>
      <w:r w:rsidR="001B7055" w:rsidRPr="001B7055">
        <w:rPr>
          <w:szCs w:val="24"/>
        </w:rPr>
        <w:t xml:space="preserve"> </w:t>
      </w:r>
      <w:r w:rsidR="001B7055">
        <w:rPr>
          <w:szCs w:val="24"/>
        </w:rPr>
        <w:t xml:space="preserve">Lenth </w:t>
      </w:r>
      <w:r w:rsidR="001B7055" w:rsidRPr="00125ED7">
        <w:rPr>
          <w:i/>
          <w:szCs w:val="24"/>
        </w:rPr>
        <w:t>et al</w:t>
      </w:r>
      <w:r w:rsidR="001B7055" w:rsidRPr="00125ED7">
        <w:rPr>
          <w:szCs w:val="24"/>
        </w:rPr>
        <w:t>.,</w:t>
      </w:r>
      <w:r w:rsidR="001B7055">
        <w:rPr>
          <w:szCs w:val="24"/>
        </w:rPr>
        <w:t xml:space="preserve"> 2017</w:t>
      </w:r>
      <w:r w:rsidR="0077503F">
        <w:rPr>
          <w:szCs w:val="24"/>
        </w:rPr>
        <w:t>;</w:t>
      </w:r>
      <w:r w:rsidR="0077503F" w:rsidRPr="0077503F">
        <w:rPr>
          <w:szCs w:val="24"/>
        </w:rPr>
        <w:t xml:space="preserve"> </w:t>
      </w:r>
      <w:r w:rsidR="006A0806">
        <w:rPr>
          <w:szCs w:val="24"/>
        </w:rPr>
        <w:t>R v</w:t>
      </w:r>
      <w:r w:rsidR="0077503F">
        <w:rPr>
          <w:szCs w:val="24"/>
        </w:rPr>
        <w:t xml:space="preserve">ersion </w:t>
      </w:r>
      <w:r w:rsidR="0077503F" w:rsidRPr="0077503F">
        <w:rPr>
          <w:szCs w:val="24"/>
        </w:rPr>
        <w:t>3.4.0</w:t>
      </w:r>
      <w:r w:rsidR="0077503F">
        <w:rPr>
          <w:szCs w:val="24"/>
        </w:rPr>
        <w:t>, R Core Team, 2017</w:t>
      </w:r>
      <w:r>
        <w:rPr>
          <w:szCs w:val="24"/>
        </w:rPr>
        <w:t>) which accounts for the unbalanced nature of the data and missing values, not allowing for large numbers of observations in a level of a factor to have an undue influence on the average of the values.</w:t>
      </w:r>
      <w:r w:rsidR="00B819FF">
        <w:rPr>
          <w:szCs w:val="24"/>
        </w:rPr>
        <w:t xml:space="preserve"> </w:t>
      </w:r>
      <w:r w:rsidR="00E66D08">
        <w:rPr>
          <w:szCs w:val="24"/>
        </w:rPr>
        <w:t xml:space="preserve">Annual mean CPUE was then back-transformed into normal space </w:t>
      </w:r>
      <w:r w:rsidR="00165E18">
        <w:rPr>
          <w:szCs w:val="24"/>
        </w:rPr>
        <w:t>and</w:t>
      </w:r>
      <w:r w:rsidR="00E66D08">
        <w:rPr>
          <w:szCs w:val="24"/>
        </w:rPr>
        <w:t xml:space="preserve"> bias correct</w:t>
      </w:r>
      <w:r w:rsidR="00165E18">
        <w:rPr>
          <w:szCs w:val="24"/>
        </w:rPr>
        <w:t>ed</w:t>
      </w:r>
      <w:r w:rsidR="00E66D08">
        <w:rPr>
          <w:szCs w:val="24"/>
        </w:rPr>
        <w:t xml:space="preserve">. Then the means from the binomial model were multiplied with the means from the lognormal model to obtain the final standardized annual </w:t>
      </w:r>
      <w:r w:rsidR="00DA3101">
        <w:rPr>
          <w:szCs w:val="24"/>
        </w:rPr>
        <w:t>CPUE values</w:t>
      </w:r>
      <w:r w:rsidR="00E66D08">
        <w:rPr>
          <w:szCs w:val="24"/>
        </w:rPr>
        <w:t>. Standard deviations were estimated in a similar manner</w:t>
      </w:r>
      <w:r w:rsidR="00E2418A">
        <w:rPr>
          <w:szCs w:val="24"/>
        </w:rPr>
        <w:t>:</w:t>
      </w:r>
      <w:r w:rsidR="00E66D08">
        <w:rPr>
          <w:szCs w:val="24"/>
        </w:rPr>
        <w:t xml:space="preserve"> individual model values were back transformed into normal space then combined for each time series</w:t>
      </w:r>
      <w:r w:rsidR="007860D4">
        <w:rPr>
          <w:szCs w:val="24"/>
        </w:rPr>
        <w:t xml:space="preserve"> based upon the Goodman</w:t>
      </w:r>
      <w:r w:rsidR="00B308FF">
        <w:rPr>
          <w:szCs w:val="24"/>
        </w:rPr>
        <w:t xml:space="preserve"> (1960)</w:t>
      </w:r>
      <w:r w:rsidR="007860D4">
        <w:rPr>
          <w:szCs w:val="24"/>
        </w:rPr>
        <w:t xml:space="preserve"> estimator (Lauretta </w:t>
      </w:r>
      <w:r w:rsidR="007860D4" w:rsidRPr="007860D4">
        <w:rPr>
          <w:i/>
          <w:szCs w:val="24"/>
        </w:rPr>
        <w:t>et al.</w:t>
      </w:r>
      <w:r w:rsidR="007860D4">
        <w:rPr>
          <w:szCs w:val="24"/>
        </w:rPr>
        <w:t>, 2016)</w:t>
      </w:r>
      <w:r w:rsidR="00E66D08">
        <w:rPr>
          <w:szCs w:val="24"/>
        </w:rPr>
        <w:t>.</w:t>
      </w:r>
    </w:p>
    <w:p w14:paraId="4DC10A13" w14:textId="77777777" w:rsidR="00F2303E" w:rsidRPr="00A31E7F" w:rsidRDefault="00F2303E" w:rsidP="00A31E7F">
      <w:pPr>
        <w:pStyle w:val="Heading1"/>
      </w:pPr>
      <w:r w:rsidRPr="00A31E7F">
        <w:lastRenderedPageBreak/>
        <w:t>Results</w:t>
      </w:r>
    </w:p>
    <w:p w14:paraId="01AC46F5" w14:textId="77777777" w:rsidR="007B4D2B" w:rsidRDefault="005E4FE4" w:rsidP="007B4D2B">
      <w:pPr>
        <w:pStyle w:val="Heading2"/>
      </w:pPr>
      <w:r>
        <w:t>Descriptive Catch Statistics</w:t>
      </w:r>
      <w:r w:rsidR="007B4D2B">
        <w:t xml:space="preserve"> </w:t>
      </w:r>
    </w:p>
    <w:p w14:paraId="492AE67E" w14:textId="524C4357" w:rsidR="00F2303E" w:rsidRDefault="005E4FE4" w:rsidP="00F2303E">
      <w:pPr>
        <w:rPr>
          <w:szCs w:val="24"/>
        </w:rPr>
      </w:pPr>
      <w:r>
        <w:rPr>
          <w:szCs w:val="24"/>
        </w:rPr>
        <w:t xml:space="preserve">The spatial distribution of CPUE for the Hawaii-based longline </w:t>
      </w:r>
      <w:r w:rsidR="000D0A0F">
        <w:rPr>
          <w:szCs w:val="24"/>
        </w:rPr>
        <w:t>shallow-set</w:t>
      </w:r>
      <w:r>
        <w:rPr>
          <w:szCs w:val="24"/>
        </w:rPr>
        <w:t xml:space="preserve"> fishery indicate that the largest CPUE</w:t>
      </w:r>
      <w:r w:rsidR="00E2418A">
        <w:rPr>
          <w:szCs w:val="24"/>
        </w:rPr>
        <w:t xml:space="preserve"> values</w:t>
      </w:r>
      <w:r>
        <w:rPr>
          <w:szCs w:val="24"/>
        </w:rPr>
        <w:t xml:space="preserve"> </w:t>
      </w:r>
      <w:r w:rsidR="00D86C97">
        <w:rPr>
          <w:szCs w:val="24"/>
        </w:rPr>
        <w:t xml:space="preserve">were </w:t>
      </w:r>
      <w:r>
        <w:rPr>
          <w:szCs w:val="24"/>
        </w:rPr>
        <w:t xml:space="preserve">in the north and western portions of the </w:t>
      </w:r>
      <w:r w:rsidR="002E5D01">
        <w:rPr>
          <w:szCs w:val="24"/>
        </w:rPr>
        <w:t xml:space="preserve">primary </w:t>
      </w:r>
      <w:r>
        <w:rPr>
          <w:szCs w:val="24"/>
        </w:rPr>
        <w:t>fishing area (</w:t>
      </w:r>
      <w:r>
        <w:rPr>
          <w:szCs w:val="24"/>
        </w:rPr>
        <w:fldChar w:fldCharType="begin"/>
      </w:r>
      <w:r>
        <w:rPr>
          <w:szCs w:val="24"/>
        </w:rPr>
        <w:instrText xml:space="preserve"> REF _Ref500417659 \h </w:instrText>
      </w:r>
      <w:r>
        <w:rPr>
          <w:szCs w:val="24"/>
        </w:rPr>
      </w:r>
      <w:r>
        <w:rPr>
          <w:szCs w:val="24"/>
        </w:rPr>
        <w:fldChar w:fldCharType="separate"/>
      </w:r>
      <w:r w:rsidR="00E33BD3">
        <w:t xml:space="preserve">Figure </w:t>
      </w:r>
      <w:r w:rsidR="00E33BD3">
        <w:rPr>
          <w:noProof/>
        </w:rPr>
        <w:t>1</w:t>
      </w:r>
      <w:r>
        <w:rPr>
          <w:szCs w:val="24"/>
        </w:rPr>
        <w:fldChar w:fldCharType="end"/>
      </w:r>
      <w:r>
        <w:rPr>
          <w:szCs w:val="24"/>
        </w:rPr>
        <w:t xml:space="preserve">) as seen by the two CPUE contours running approximately from the northeast corner of the region to the south west corner. This trend </w:t>
      </w:r>
      <w:r w:rsidR="00D86C97">
        <w:rPr>
          <w:szCs w:val="24"/>
        </w:rPr>
        <w:t xml:space="preserve">was </w:t>
      </w:r>
      <w:r w:rsidR="008C5654">
        <w:rPr>
          <w:szCs w:val="24"/>
        </w:rPr>
        <w:t>also evident in the annual CPUE spatial distributions (</w:t>
      </w:r>
      <w:r w:rsidR="008C5654">
        <w:rPr>
          <w:szCs w:val="24"/>
        </w:rPr>
        <w:fldChar w:fldCharType="begin"/>
      </w:r>
      <w:r w:rsidR="008C5654">
        <w:rPr>
          <w:szCs w:val="24"/>
        </w:rPr>
        <w:instrText xml:space="preserve"> REF _Ref500417822 \h </w:instrText>
      </w:r>
      <w:r w:rsidR="008C5654">
        <w:rPr>
          <w:szCs w:val="24"/>
        </w:rPr>
      </w:r>
      <w:r w:rsidR="008C5654">
        <w:rPr>
          <w:szCs w:val="24"/>
        </w:rPr>
        <w:fldChar w:fldCharType="separate"/>
      </w:r>
      <w:r w:rsidR="00E33BD3">
        <w:t xml:space="preserve">Figure </w:t>
      </w:r>
      <w:r w:rsidR="00E33BD3">
        <w:rPr>
          <w:noProof/>
        </w:rPr>
        <w:t>2</w:t>
      </w:r>
      <w:r w:rsidR="008C5654">
        <w:rPr>
          <w:szCs w:val="24"/>
        </w:rPr>
        <w:fldChar w:fldCharType="end"/>
      </w:r>
      <w:r w:rsidR="008C5654">
        <w:rPr>
          <w:szCs w:val="24"/>
        </w:rPr>
        <w:t>)</w:t>
      </w:r>
      <w:r w:rsidR="002D5E78">
        <w:rPr>
          <w:szCs w:val="24"/>
        </w:rPr>
        <w:t xml:space="preserve"> prior to the 2001</w:t>
      </w:r>
      <w:r w:rsidR="00341E8B">
        <w:rPr>
          <w:szCs w:val="24"/>
        </w:rPr>
        <w:t>–</w:t>
      </w:r>
      <w:r w:rsidR="002D5E78">
        <w:rPr>
          <w:szCs w:val="24"/>
        </w:rPr>
        <w:t xml:space="preserve">2004 closure when </w:t>
      </w:r>
      <w:r w:rsidR="000D0A0F">
        <w:rPr>
          <w:szCs w:val="24"/>
        </w:rPr>
        <w:t>shallow-set</w:t>
      </w:r>
      <w:r w:rsidR="002D5E78">
        <w:rPr>
          <w:szCs w:val="24"/>
        </w:rPr>
        <w:t>s occurred primarily north of the Hawaiian Islands. After 2001</w:t>
      </w:r>
      <w:r w:rsidR="00341E8B">
        <w:rPr>
          <w:szCs w:val="24"/>
        </w:rPr>
        <w:t>–</w:t>
      </w:r>
      <w:r w:rsidR="002D5E78">
        <w:rPr>
          <w:szCs w:val="24"/>
        </w:rPr>
        <w:t xml:space="preserve">2004, </w:t>
      </w:r>
      <w:r w:rsidR="000D0A0F">
        <w:rPr>
          <w:szCs w:val="24"/>
        </w:rPr>
        <w:t>shallow-set</w:t>
      </w:r>
      <w:r w:rsidR="008C5654">
        <w:rPr>
          <w:szCs w:val="24"/>
        </w:rPr>
        <w:t xml:space="preserve">s occurred more frequently south of the Hawaiian Islands. </w:t>
      </w:r>
      <w:r w:rsidR="00B4661C">
        <w:rPr>
          <w:szCs w:val="24"/>
        </w:rPr>
        <w:t xml:space="preserve">The total number of hooks per set </w:t>
      </w:r>
      <w:r w:rsidR="003A517F">
        <w:rPr>
          <w:szCs w:val="24"/>
        </w:rPr>
        <w:t xml:space="preserve">was </w:t>
      </w:r>
      <w:r w:rsidR="00B4661C">
        <w:rPr>
          <w:szCs w:val="24"/>
        </w:rPr>
        <w:t>highest around and north of the Hawaiian Islands (</w:t>
      </w:r>
      <w:r w:rsidR="00B4661C">
        <w:rPr>
          <w:szCs w:val="24"/>
        </w:rPr>
        <w:fldChar w:fldCharType="begin"/>
      </w:r>
      <w:r w:rsidR="00B4661C">
        <w:rPr>
          <w:szCs w:val="24"/>
        </w:rPr>
        <w:instrText xml:space="preserve"> REF _Ref500418426 \h </w:instrText>
      </w:r>
      <w:r w:rsidR="00B4661C">
        <w:rPr>
          <w:szCs w:val="24"/>
        </w:rPr>
      </w:r>
      <w:r w:rsidR="00B4661C">
        <w:rPr>
          <w:szCs w:val="24"/>
        </w:rPr>
        <w:fldChar w:fldCharType="separate"/>
      </w:r>
      <w:r w:rsidR="00E33BD3">
        <w:t xml:space="preserve">Figure </w:t>
      </w:r>
      <w:r w:rsidR="00E33BD3">
        <w:rPr>
          <w:noProof/>
        </w:rPr>
        <w:t>3</w:t>
      </w:r>
      <w:r w:rsidR="00B4661C">
        <w:rPr>
          <w:szCs w:val="24"/>
        </w:rPr>
        <w:fldChar w:fldCharType="end"/>
      </w:r>
      <w:r w:rsidR="00B4661C">
        <w:rPr>
          <w:szCs w:val="24"/>
        </w:rPr>
        <w:t xml:space="preserve">) which coincides with the locations of the highest number of total sets </w:t>
      </w:r>
      <w:r w:rsidR="002E5D01">
        <w:rPr>
          <w:szCs w:val="24"/>
        </w:rPr>
        <w:t xml:space="preserve">in the North Pacific subtropical convergence zone </w:t>
      </w:r>
      <w:r w:rsidR="00B4661C">
        <w:rPr>
          <w:szCs w:val="24"/>
        </w:rPr>
        <w:t>(</w:t>
      </w:r>
      <w:r w:rsidR="00B4661C">
        <w:rPr>
          <w:szCs w:val="24"/>
        </w:rPr>
        <w:fldChar w:fldCharType="begin"/>
      </w:r>
      <w:r w:rsidR="00B4661C">
        <w:rPr>
          <w:szCs w:val="24"/>
        </w:rPr>
        <w:instrText xml:space="preserve"> REF _Ref500418430 \h </w:instrText>
      </w:r>
      <w:r w:rsidR="00B4661C">
        <w:rPr>
          <w:szCs w:val="24"/>
        </w:rPr>
      </w:r>
      <w:r w:rsidR="00B4661C">
        <w:rPr>
          <w:szCs w:val="24"/>
        </w:rPr>
        <w:fldChar w:fldCharType="separate"/>
      </w:r>
      <w:r w:rsidR="00E33BD3">
        <w:t xml:space="preserve">Figure </w:t>
      </w:r>
      <w:r w:rsidR="00E33BD3">
        <w:rPr>
          <w:noProof/>
        </w:rPr>
        <w:t>4</w:t>
      </w:r>
      <w:r w:rsidR="00B4661C">
        <w:rPr>
          <w:szCs w:val="24"/>
        </w:rPr>
        <w:fldChar w:fldCharType="end"/>
      </w:r>
      <w:r w:rsidR="00B4661C">
        <w:rPr>
          <w:szCs w:val="24"/>
        </w:rPr>
        <w:t>).</w:t>
      </w:r>
    </w:p>
    <w:p w14:paraId="0DD9402D" w14:textId="1E295EDA" w:rsidR="000F207C" w:rsidRDefault="00B4661C" w:rsidP="00F2303E">
      <w:pPr>
        <w:rPr>
          <w:szCs w:val="24"/>
        </w:rPr>
      </w:pPr>
      <w:r>
        <w:rPr>
          <w:szCs w:val="24"/>
        </w:rPr>
        <w:t xml:space="preserve">The majority of the sets </w:t>
      </w:r>
      <w:r w:rsidR="002E5D01">
        <w:rPr>
          <w:szCs w:val="24"/>
        </w:rPr>
        <w:t xml:space="preserve">in the </w:t>
      </w:r>
      <w:r w:rsidR="000D0A0F">
        <w:rPr>
          <w:szCs w:val="24"/>
        </w:rPr>
        <w:t>shallow-set</w:t>
      </w:r>
      <w:r w:rsidR="002E5D01">
        <w:rPr>
          <w:szCs w:val="24"/>
        </w:rPr>
        <w:t xml:space="preserve"> sector </w:t>
      </w:r>
      <w:r w:rsidR="006C416F">
        <w:rPr>
          <w:szCs w:val="24"/>
        </w:rPr>
        <w:t xml:space="preserve">has </w:t>
      </w:r>
      <w:r>
        <w:rPr>
          <w:szCs w:val="24"/>
        </w:rPr>
        <w:t xml:space="preserve">between 4 and 6 hooks per float and </w:t>
      </w:r>
      <w:r w:rsidR="006C416F">
        <w:rPr>
          <w:szCs w:val="24"/>
        </w:rPr>
        <w:t xml:space="preserve">was </w:t>
      </w:r>
      <w:r>
        <w:rPr>
          <w:szCs w:val="24"/>
        </w:rPr>
        <w:t xml:space="preserve">set between </w:t>
      </w:r>
      <w:r w:rsidR="00327A8E">
        <w:rPr>
          <w:szCs w:val="24"/>
        </w:rPr>
        <w:t>1500</w:t>
      </w:r>
      <w:r>
        <w:rPr>
          <w:szCs w:val="24"/>
        </w:rPr>
        <w:t xml:space="preserve"> and </w:t>
      </w:r>
      <w:r w:rsidR="00327A8E">
        <w:rPr>
          <w:szCs w:val="24"/>
        </w:rPr>
        <w:t>0</w:t>
      </w:r>
      <w:r>
        <w:rPr>
          <w:szCs w:val="24"/>
        </w:rPr>
        <w:t>6</w:t>
      </w:r>
      <w:r w:rsidR="00327A8E">
        <w:rPr>
          <w:szCs w:val="24"/>
        </w:rPr>
        <w:t>00</w:t>
      </w:r>
      <w:r>
        <w:rPr>
          <w:szCs w:val="24"/>
        </w:rPr>
        <w:t xml:space="preserve"> (</w:t>
      </w:r>
      <w:r>
        <w:rPr>
          <w:szCs w:val="24"/>
        </w:rPr>
        <w:fldChar w:fldCharType="begin"/>
      </w:r>
      <w:r>
        <w:rPr>
          <w:szCs w:val="24"/>
        </w:rPr>
        <w:instrText xml:space="preserve"> REF _Ref500418644 \h </w:instrText>
      </w:r>
      <w:r>
        <w:rPr>
          <w:szCs w:val="24"/>
        </w:rPr>
      </w:r>
      <w:r>
        <w:rPr>
          <w:szCs w:val="24"/>
        </w:rPr>
        <w:fldChar w:fldCharType="separate"/>
      </w:r>
      <w:r w:rsidR="00E33BD3">
        <w:t xml:space="preserve">Figure </w:t>
      </w:r>
      <w:r w:rsidR="00E33BD3">
        <w:rPr>
          <w:noProof/>
        </w:rPr>
        <w:t>5</w:t>
      </w:r>
      <w:r>
        <w:rPr>
          <w:szCs w:val="24"/>
        </w:rPr>
        <w:fldChar w:fldCharType="end"/>
      </w:r>
      <w:r>
        <w:rPr>
          <w:szCs w:val="24"/>
        </w:rPr>
        <w:t xml:space="preserve">). For sets with higher HPF, most of the sets begin around dawn. When some of the operational variables </w:t>
      </w:r>
      <w:r w:rsidR="00D86C97">
        <w:rPr>
          <w:szCs w:val="24"/>
        </w:rPr>
        <w:t xml:space="preserve">were </w:t>
      </w:r>
      <w:r>
        <w:rPr>
          <w:szCs w:val="24"/>
        </w:rPr>
        <w:t xml:space="preserve">explored on an annual basis, the substantial changes in the </w:t>
      </w:r>
      <w:r w:rsidR="000D0A0F">
        <w:rPr>
          <w:szCs w:val="24"/>
        </w:rPr>
        <w:t>shallow-set</w:t>
      </w:r>
      <w:r>
        <w:rPr>
          <w:szCs w:val="24"/>
        </w:rPr>
        <w:t xml:space="preserve"> sector before and after the closure </w:t>
      </w:r>
      <w:r w:rsidR="00D86C97">
        <w:rPr>
          <w:szCs w:val="24"/>
        </w:rPr>
        <w:t xml:space="preserve">were </w:t>
      </w:r>
      <w:r>
        <w:rPr>
          <w:szCs w:val="24"/>
        </w:rPr>
        <w:t>evident. For example, prior to the closure in 2001 sets were began between dusk and dawn (</w:t>
      </w:r>
      <w:r>
        <w:rPr>
          <w:szCs w:val="24"/>
        </w:rPr>
        <w:fldChar w:fldCharType="begin"/>
      </w:r>
      <w:r>
        <w:rPr>
          <w:szCs w:val="24"/>
        </w:rPr>
        <w:instrText xml:space="preserve"> REF _Ref500418743 \h </w:instrText>
      </w:r>
      <w:r>
        <w:rPr>
          <w:szCs w:val="24"/>
        </w:rPr>
      </w:r>
      <w:r>
        <w:rPr>
          <w:szCs w:val="24"/>
        </w:rPr>
        <w:fldChar w:fldCharType="separate"/>
      </w:r>
      <w:r w:rsidR="00E33BD3">
        <w:t xml:space="preserve">Figure </w:t>
      </w:r>
      <w:r w:rsidR="00E33BD3">
        <w:rPr>
          <w:noProof/>
        </w:rPr>
        <w:t>6</w:t>
      </w:r>
      <w:r>
        <w:rPr>
          <w:szCs w:val="24"/>
        </w:rPr>
        <w:fldChar w:fldCharType="end"/>
      </w:r>
      <w:r>
        <w:rPr>
          <w:szCs w:val="24"/>
        </w:rPr>
        <w:t xml:space="preserve">) however, after the fishery reopened in 2005 almost all of the sets begin between dusk and midnight, suggesting a specific targeting of swordfish catches. </w:t>
      </w:r>
      <w:r w:rsidR="006810E3">
        <w:rPr>
          <w:szCs w:val="24"/>
        </w:rPr>
        <w:t>Similarly, prior to the closure there were a notable number of sets with hooks per float over 10 but after the fishery almost all the sets have 4 to 6 hooks per float (</w:t>
      </w:r>
      <w:r w:rsidR="006810E3">
        <w:rPr>
          <w:szCs w:val="24"/>
        </w:rPr>
        <w:fldChar w:fldCharType="begin"/>
      </w:r>
      <w:r w:rsidR="006810E3">
        <w:rPr>
          <w:szCs w:val="24"/>
        </w:rPr>
        <w:instrText xml:space="preserve"> REF _Ref500418898 \h </w:instrText>
      </w:r>
      <w:r w:rsidR="006810E3">
        <w:rPr>
          <w:szCs w:val="24"/>
        </w:rPr>
      </w:r>
      <w:r w:rsidR="006810E3">
        <w:rPr>
          <w:szCs w:val="24"/>
        </w:rPr>
        <w:fldChar w:fldCharType="separate"/>
      </w:r>
      <w:r w:rsidR="00E33BD3">
        <w:t xml:space="preserve">Figure </w:t>
      </w:r>
      <w:r w:rsidR="00E33BD3">
        <w:rPr>
          <w:noProof/>
        </w:rPr>
        <w:t>7</w:t>
      </w:r>
      <w:r w:rsidR="006810E3">
        <w:rPr>
          <w:szCs w:val="24"/>
        </w:rPr>
        <w:fldChar w:fldCharType="end"/>
      </w:r>
      <w:r w:rsidR="006810E3">
        <w:rPr>
          <w:szCs w:val="24"/>
        </w:rPr>
        <w:t xml:space="preserve">). </w:t>
      </w:r>
    </w:p>
    <w:p w14:paraId="627FC501" w14:textId="4C10A204" w:rsidR="00B4661C" w:rsidRDefault="000F207C" w:rsidP="00F2303E">
      <w:pPr>
        <w:rPr>
          <w:szCs w:val="24"/>
        </w:rPr>
      </w:pPr>
      <w:r>
        <w:rPr>
          <w:szCs w:val="24"/>
        </w:rPr>
        <w:t>Figures 8 through</w:t>
      </w:r>
      <w:r w:rsidR="00CF1EB4">
        <w:rPr>
          <w:szCs w:val="24"/>
        </w:rPr>
        <w:t xml:space="preserve"> </w:t>
      </w:r>
      <w:r>
        <w:rPr>
          <w:szCs w:val="24"/>
        </w:rPr>
        <w:t>10 show the nominal CPUE versus each explanatory variable explored in the standardization. Overall, CPUE</w:t>
      </w:r>
      <w:r w:rsidR="00E648BB">
        <w:rPr>
          <w:szCs w:val="24"/>
        </w:rPr>
        <w:t xml:space="preserve"> value</w:t>
      </w:r>
      <w:r>
        <w:rPr>
          <w:szCs w:val="24"/>
        </w:rPr>
        <w:t xml:space="preserve">s </w:t>
      </w:r>
      <w:r w:rsidR="00D86C97">
        <w:rPr>
          <w:szCs w:val="24"/>
        </w:rPr>
        <w:t xml:space="preserve">were </w:t>
      </w:r>
      <w:r>
        <w:rPr>
          <w:szCs w:val="24"/>
        </w:rPr>
        <w:t>higher and less variable after the closure (</w:t>
      </w:r>
      <w:r>
        <w:rPr>
          <w:szCs w:val="24"/>
        </w:rPr>
        <w:fldChar w:fldCharType="begin"/>
      </w:r>
      <w:r>
        <w:rPr>
          <w:szCs w:val="24"/>
        </w:rPr>
        <w:instrText xml:space="preserve"> REF _Ref500419956 \h </w:instrText>
      </w:r>
      <w:r>
        <w:rPr>
          <w:szCs w:val="24"/>
        </w:rPr>
      </w:r>
      <w:r>
        <w:rPr>
          <w:szCs w:val="24"/>
        </w:rPr>
        <w:fldChar w:fldCharType="separate"/>
      </w:r>
      <w:r w:rsidR="00E33BD3">
        <w:t xml:space="preserve">Figure </w:t>
      </w:r>
      <w:r w:rsidR="00E33BD3">
        <w:rPr>
          <w:noProof/>
        </w:rPr>
        <w:t>8</w:t>
      </w:r>
      <w:r>
        <w:rPr>
          <w:szCs w:val="24"/>
        </w:rPr>
        <w:fldChar w:fldCharType="end"/>
      </w:r>
      <w:r>
        <w:rPr>
          <w:szCs w:val="24"/>
        </w:rPr>
        <w:t>). CPUE</w:t>
      </w:r>
      <w:r w:rsidR="00237CD6">
        <w:rPr>
          <w:szCs w:val="24"/>
        </w:rPr>
        <w:t xml:space="preserve"> value</w:t>
      </w:r>
      <w:r>
        <w:rPr>
          <w:szCs w:val="24"/>
        </w:rPr>
        <w:t xml:space="preserve">s </w:t>
      </w:r>
      <w:r w:rsidR="00D86C97">
        <w:rPr>
          <w:szCs w:val="24"/>
        </w:rPr>
        <w:t xml:space="preserve">were </w:t>
      </w:r>
      <w:r>
        <w:rPr>
          <w:szCs w:val="24"/>
        </w:rPr>
        <w:t xml:space="preserve">lowest in quarter 3 and highest in quarter </w:t>
      </w:r>
      <w:r w:rsidR="005E426B">
        <w:rPr>
          <w:szCs w:val="24"/>
        </w:rPr>
        <w:t>1</w:t>
      </w:r>
      <w:r>
        <w:rPr>
          <w:szCs w:val="24"/>
        </w:rPr>
        <w:t>.</w:t>
      </w:r>
      <w:r w:rsidRPr="000F207C">
        <w:rPr>
          <w:szCs w:val="24"/>
        </w:rPr>
        <w:t xml:space="preserve"> </w:t>
      </w:r>
      <w:r>
        <w:rPr>
          <w:szCs w:val="24"/>
        </w:rPr>
        <w:t>The highest CPUE</w:t>
      </w:r>
      <w:r w:rsidR="00C65C02">
        <w:rPr>
          <w:szCs w:val="24"/>
        </w:rPr>
        <w:t xml:space="preserve"> value</w:t>
      </w:r>
      <w:r>
        <w:rPr>
          <w:szCs w:val="24"/>
        </w:rPr>
        <w:t xml:space="preserve">s </w:t>
      </w:r>
      <w:r w:rsidR="00D86C97">
        <w:rPr>
          <w:szCs w:val="24"/>
        </w:rPr>
        <w:t xml:space="preserve">were </w:t>
      </w:r>
      <w:r>
        <w:rPr>
          <w:szCs w:val="24"/>
        </w:rPr>
        <w:t xml:space="preserve">caught when the number of hooks per float </w:t>
      </w:r>
      <w:r w:rsidR="00D86C97">
        <w:rPr>
          <w:szCs w:val="24"/>
        </w:rPr>
        <w:t>w</w:t>
      </w:r>
      <w:r w:rsidR="00850864">
        <w:rPr>
          <w:szCs w:val="24"/>
        </w:rPr>
        <w:t xml:space="preserve">as </w:t>
      </w:r>
      <w:r>
        <w:rPr>
          <w:szCs w:val="24"/>
        </w:rPr>
        <w:t>between 4 and 6 which suggests that the fishery targets swordfish more specifically after the closure</w:t>
      </w:r>
      <w:r w:rsidR="00C65C02">
        <w:rPr>
          <w:szCs w:val="24"/>
        </w:rPr>
        <w:t xml:space="preserve"> given the prevalence of the use of 4 to 6 hpf after the closure</w:t>
      </w:r>
      <w:r>
        <w:rPr>
          <w:szCs w:val="24"/>
        </w:rPr>
        <w:t xml:space="preserve">. As seen in </w:t>
      </w:r>
      <w:r>
        <w:rPr>
          <w:szCs w:val="24"/>
        </w:rPr>
        <w:fldChar w:fldCharType="begin"/>
      </w:r>
      <w:r>
        <w:rPr>
          <w:szCs w:val="24"/>
        </w:rPr>
        <w:instrText xml:space="preserve"> REF _Ref500417659 \h </w:instrText>
      </w:r>
      <w:r>
        <w:rPr>
          <w:szCs w:val="24"/>
        </w:rPr>
      </w:r>
      <w:r>
        <w:rPr>
          <w:szCs w:val="24"/>
        </w:rPr>
        <w:fldChar w:fldCharType="separate"/>
      </w:r>
      <w:r w:rsidR="00E33BD3">
        <w:t xml:space="preserve">Figure </w:t>
      </w:r>
      <w:r w:rsidR="00E33BD3">
        <w:rPr>
          <w:noProof/>
        </w:rPr>
        <w:t>1</w:t>
      </w:r>
      <w:r>
        <w:rPr>
          <w:szCs w:val="24"/>
        </w:rPr>
        <w:fldChar w:fldCharType="end"/>
      </w:r>
      <w:r>
        <w:rPr>
          <w:szCs w:val="24"/>
        </w:rPr>
        <w:t>, CPUE</w:t>
      </w:r>
      <w:r w:rsidR="00562F0D">
        <w:rPr>
          <w:szCs w:val="24"/>
        </w:rPr>
        <w:t xml:space="preserve"> value</w:t>
      </w:r>
      <w:r>
        <w:rPr>
          <w:szCs w:val="24"/>
        </w:rPr>
        <w:t xml:space="preserve">s </w:t>
      </w:r>
      <w:r w:rsidR="00D86C97">
        <w:rPr>
          <w:szCs w:val="24"/>
        </w:rPr>
        <w:t xml:space="preserve">were </w:t>
      </w:r>
      <w:r>
        <w:rPr>
          <w:szCs w:val="24"/>
        </w:rPr>
        <w:t xml:space="preserve">low in the south, begin increasing north of 20°N latitude, </w:t>
      </w:r>
      <w:r w:rsidR="00D86C97">
        <w:rPr>
          <w:szCs w:val="24"/>
        </w:rPr>
        <w:t xml:space="preserve">were </w:t>
      </w:r>
      <w:r>
        <w:rPr>
          <w:szCs w:val="24"/>
        </w:rPr>
        <w:t>fairly constant between 30°N and 40°N, after which they decline (</w:t>
      </w:r>
      <w:r>
        <w:rPr>
          <w:szCs w:val="24"/>
        </w:rPr>
        <w:fldChar w:fldCharType="begin"/>
      </w:r>
      <w:r>
        <w:rPr>
          <w:szCs w:val="24"/>
        </w:rPr>
        <w:instrText xml:space="preserve"> REF _Ref500420277 \h </w:instrText>
      </w:r>
      <w:r>
        <w:rPr>
          <w:szCs w:val="24"/>
        </w:rPr>
      </w:r>
      <w:r>
        <w:rPr>
          <w:szCs w:val="24"/>
        </w:rPr>
        <w:fldChar w:fldCharType="separate"/>
      </w:r>
      <w:r w:rsidR="00E33BD3">
        <w:t xml:space="preserve">Figure </w:t>
      </w:r>
      <w:r w:rsidR="00E33BD3">
        <w:rPr>
          <w:noProof/>
        </w:rPr>
        <w:t>9</w:t>
      </w:r>
      <w:r>
        <w:rPr>
          <w:szCs w:val="24"/>
        </w:rPr>
        <w:fldChar w:fldCharType="end"/>
      </w:r>
      <w:r>
        <w:rPr>
          <w:szCs w:val="24"/>
        </w:rPr>
        <w:t xml:space="preserve">). There </w:t>
      </w:r>
      <w:r w:rsidR="00D86C97">
        <w:rPr>
          <w:szCs w:val="24"/>
        </w:rPr>
        <w:t xml:space="preserve">was </w:t>
      </w:r>
      <w:r>
        <w:rPr>
          <w:szCs w:val="24"/>
        </w:rPr>
        <w:t>little change in CPUE with longitude except for a slight dip around the Hawaiian Islands. CPUE decreases with increasing number of hooks per set, and increase</w:t>
      </w:r>
      <w:r w:rsidR="00701CBA">
        <w:rPr>
          <w:szCs w:val="24"/>
        </w:rPr>
        <w:t>s</w:t>
      </w:r>
      <w:r>
        <w:rPr>
          <w:szCs w:val="24"/>
        </w:rPr>
        <w:t xml:space="preserve"> with increased lunar illumination</w:t>
      </w:r>
      <w:r w:rsidR="00701CBA">
        <w:rPr>
          <w:szCs w:val="24"/>
        </w:rPr>
        <w:t xml:space="preserve"> from a mean of approximately eight swordfish per 1000 hooks during the new moon to a mean of approximately 13 swordfish per 1000 hooks during the full moon</w:t>
      </w:r>
      <w:r>
        <w:rPr>
          <w:szCs w:val="24"/>
        </w:rPr>
        <w:t>.</w:t>
      </w:r>
      <w:r w:rsidR="00F60EBE">
        <w:rPr>
          <w:szCs w:val="24"/>
        </w:rPr>
        <w:t xml:space="preserve"> For mixed layer depth, sea surface temperature, PDO and SOI, it </w:t>
      </w:r>
      <w:r w:rsidR="00D86C97">
        <w:rPr>
          <w:szCs w:val="24"/>
        </w:rPr>
        <w:t xml:space="preserve">was </w:t>
      </w:r>
      <w:r w:rsidR="00F60EBE">
        <w:rPr>
          <w:szCs w:val="24"/>
        </w:rPr>
        <w:t>difficult to identify significant trends (</w:t>
      </w:r>
      <w:r w:rsidR="00F60EBE">
        <w:rPr>
          <w:szCs w:val="24"/>
        </w:rPr>
        <w:fldChar w:fldCharType="begin"/>
      </w:r>
      <w:r w:rsidR="00F60EBE">
        <w:rPr>
          <w:szCs w:val="24"/>
        </w:rPr>
        <w:instrText xml:space="preserve"> REF _Ref500420710 \h </w:instrText>
      </w:r>
      <w:r w:rsidR="00F60EBE">
        <w:rPr>
          <w:szCs w:val="24"/>
        </w:rPr>
      </w:r>
      <w:r w:rsidR="00F60EBE">
        <w:rPr>
          <w:szCs w:val="24"/>
        </w:rPr>
        <w:fldChar w:fldCharType="separate"/>
      </w:r>
      <w:r w:rsidR="00E33BD3">
        <w:t xml:space="preserve">Figure </w:t>
      </w:r>
      <w:r w:rsidR="00E33BD3">
        <w:rPr>
          <w:noProof/>
        </w:rPr>
        <w:t>10</w:t>
      </w:r>
      <w:r w:rsidR="00F60EBE">
        <w:rPr>
          <w:szCs w:val="24"/>
        </w:rPr>
        <w:fldChar w:fldCharType="end"/>
      </w:r>
      <w:r w:rsidR="00F60EBE">
        <w:rPr>
          <w:szCs w:val="24"/>
        </w:rPr>
        <w:t xml:space="preserve">) although there </w:t>
      </w:r>
      <w:r w:rsidR="00D86C97">
        <w:rPr>
          <w:szCs w:val="24"/>
        </w:rPr>
        <w:t xml:space="preserve">did </w:t>
      </w:r>
      <w:r w:rsidR="00F60EBE">
        <w:rPr>
          <w:szCs w:val="24"/>
        </w:rPr>
        <w:t xml:space="preserve">appear to be lower </w:t>
      </w:r>
      <w:r w:rsidR="00DA3101">
        <w:rPr>
          <w:szCs w:val="24"/>
        </w:rPr>
        <w:t>CPUE values</w:t>
      </w:r>
      <w:r w:rsidR="00F60EBE">
        <w:rPr>
          <w:szCs w:val="24"/>
        </w:rPr>
        <w:t xml:space="preserve"> at deeper MLD and high</w:t>
      </w:r>
      <w:r w:rsidR="009B0F0C">
        <w:rPr>
          <w:szCs w:val="24"/>
        </w:rPr>
        <w:t>er</w:t>
      </w:r>
      <w:r w:rsidR="00F60EBE">
        <w:rPr>
          <w:szCs w:val="24"/>
        </w:rPr>
        <w:t xml:space="preserve"> </w:t>
      </w:r>
      <w:r w:rsidR="00DA3101">
        <w:rPr>
          <w:szCs w:val="24"/>
        </w:rPr>
        <w:t>CPUE values</w:t>
      </w:r>
      <w:r w:rsidR="00F60EBE">
        <w:rPr>
          <w:szCs w:val="24"/>
        </w:rPr>
        <w:t xml:space="preserve"> at intermediate temperatures (around 24°C). </w:t>
      </w:r>
    </w:p>
    <w:p w14:paraId="5AB59C37" w14:textId="22FC9EE7" w:rsidR="00F60EBE" w:rsidRDefault="00DA3101" w:rsidP="00F2303E">
      <w:pPr>
        <w:rPr>
          <w:szCs w:val="24"/>
        </w:rPr>
      </w:pPr>
      <w:r>
        <w:rPr>
          <w:szCs w:val="24"/>
        </w:rPr>
        <w:t>CPUE values</w:t>
      </w:r>
      <w:r w:rsidR="002E5D01">
        <w:rPr>
          <w:szCs w:val="24"/>
        </w:rPr>
        <w:t xml:space="preserve"> for the </w:t>
      </w:r>
      <w:r w:rsidR="00F764D8">
        <w:rPr>
          <w:szCs w:val="24"/>
        </w:rPr>
        <w:t>deep-set</w:t>
      </w:r>
      <w:r w:rsidR="002E5D01">
        <w:rPr>
          <w:szCs w:val="24"/>
        </w:rPr>
        <w:t xml:space="preserve"> fishery were an order of magnitude lower than the </w:t>
      </w:r>
      <w:r w:rsidR="000D0A0F">
        <w:rPr>
          <w:szCs w:val="24"/>
        </w:rPr>
        <w:t>shallow-set</w:t>
      </w:r>
      <w:r w:rsidR="002E5D01">
        <w:rPr>
          <w:szCs w:val="24"/>
        </w:rPr>
        <w:t xml:space="preserve"> </w:t>
      </w:r>
      <w:r>
        <w:rPr>
          <w:szCs w:val="24"/>
        </w:rPr>
        <w:t>CPUE values</w:t>
      </w:r>
      <w:r w:rsidR="00F60EBE">
        <w:rPr>
          <w:szCs w:val="24"/>
        </w:rPr>
        <w:t xml:space="preserve">, with mean </w:t>
      </w:r>
      <w:r>
        <w:rPr>
          <w:szCs w:val="24"/>
        </w:rPr>
        <w:t>CPUE values</w:t>
      </w:r>
      <w:r w:rsidR="00F60EBE">
        <w:rPr>
          <w:szCs w:val="24"/>
        </w:rPr>
        <w:t xml:space="preserve"> between 0 and 1.2 fish per 1000 hooks (</w:t>
      </w:r>
      <w:r w:rsidR="00F60EBE">
        <w:rPr>
          <w:szCs w:val="24"/>
        </w:rPr>
        <w:fldChar w:fldCharType="begin"/>
      </w:r>
      <w:r w:rsidR="00F60EBE">
        <w:rPr>
          <w:szCs w:val="24"/>
        </w:rPr>
        <w:instrText xml:space="preserve"> REF _Ref500420808 \h </w:instrText>
      </w:r>
      <w:r w:rsidR="00F60EBE">
        <w:rPr>
          <w:szCs w:val="24"/>
        </w:rPr>
      </w:r>
      <w:r w:rsidR="00F60EBE">
        <w:rPr>
          <w:szCs w:val="24"/>
        </w:rPr>
        <w:fldChar w:fldCharType="separate"/>
      </w:r>
      <w:r w:rsidR="00E33BD3">
        <w:t xml:space="preserve">Figure </w:t>
      </w:r>
      <w:r w:rsidR="00E33BD3">
        <w:rPr>
          <w:noProof/>
        </w:rPr>
        <w:t>11</w:t>
      </w:r>
      <w:r w:rsidR="00F60EBE">
        <w:rPr>
          <w:szCs w:val="24"/>
        </w:rPr>
        <w:fldChar w:fldCharType="end"/>
      </w:r>
      <w:r w:rsidR="00F60EBE">
        <w:rPr>
          <w:szCs w:val="24"/>
        </w:rPr>
        <w:t xml:space="preserve">). The annual spatial distribution of mean CPUE </w:t>
      </w:r>
      <w:r w:rsidR="00D86C97">
        <w:rPr>
          <w:szCs w:val="24"/>
        </w:rPr>
        <w:t xml:space="preserve">was </w:t>
      </w:r>
      <w:r w:rsidR="00F60EBE">
        <w:rPr>
          <w:szCs w:val="24"/>
        </w:rPr>
        <w:t xml:space="preserve">low and relatively stable </w:t>
      </w:r>
      <w:r w:rsidR="00D86C97">
        <w:rPr>
          <w:szCs w:val="24"/>
        </w:rPr>
        <w:t>through</w:t>
      </w:r>
      <w:r w:rsidR="00F60EBE">
        <w:rPr>
          <w:szCs w:val="24"/>
        </w:rPr>
        <w:t>out the time period and the region (</w:t>
      </w:r>
      <w:r w:rsidR="00F60EBE">
        <w:rPr>
          <w:szCs w:val="24"/>
        </w:rPr>
        <w:fldChar w:fldCharType="begin"/>
      </w:r>
      <w:r w:rsidR="00F60EBE">
        <w:rPr>
          <w:szCs w:val="24"/>
        </w:rPr>
        <w:instrText xml:space="preserve"> REF _Ref500420930 \h </w:instrText>
      </w:r>
      <w:r w:rsidR="00F60EBE">
        <w:rPr>
          <w:szCs w:val="24"/>
        </w:rPr>
      </w:r>
      <w:r w:rsidR="00F60EBE">
        <w:rPr>
          <w:szCs w:val="24"/>
        </w:rPr>
        <w:fldChar w:fldCharType="separate"/>
      </w:r>
      <w:r w:rsidR="00E33BD3">
        <w:t xml:space="preserve">Figure </w:t>
      </w:r>
      <w:r w:rsidR="00E33BD3">
        <w:rPr>
          <w:noProof/>
        </w:rPr>
        <w:t>12</w:t>
      </w:r>
      <w:r w:rsidR="00F60EBE">
        <w:rPr>
          <w:szCs w:val="24"/>
        </w:rPr>
        <w:fldChar w:fldCharType="end"/>
      </w:r>
      <w:r w:rsidR="00F60EBE">
        <w:rPr>
          <w:szCs w:val="24"/>
        </w:rPr>
        <w:t>)</w:t>
      </w:r>
      <w:r w:rsidR="00657BBB">
        <w:rPr>
          <w:szCs w:val="24"/>
        </w:rPr>
        <w:t>, although there appears to be an expansion of effort over time</w:t>
      </w:r>
      <w:r w:rsidR="00F60EBE">
        <w:rPr>
          <w:szCs w:val="24"/>
        </w:rPr>
        <w:t xml:space="preserve">. Effort </w:t>
      </w:r>
      <w:r w:rsidR="00D86C97">
        <w:rPr>
          <w:szCs w:val="24"/>
        </w:rPr>
        <w:t xml:space="preserve">was </w:t>
      </w:r>
      <w:r w:rsidR="00F60EBE">
        <w:rPr>
          <w:szCs w:val="24"/>
        </w:rPr>
        <w:t>highest around the Hawaiian Islands, both north and south of the main eight islands for number of hooks set (</w:t>
      </w:r>
      <w:r w:rsidR="00F60EBE">
        <w:rPr>
          <w:szCs w:val="24"/>
        </w:rPr>
        <w:fldChar w:fldCharType="begin"/>
      </w:r>
      <w:r w:rsidR="00F60EBE">
        <w:rPr>
          <w:szCs w:val="24"/>
        </w:rPr>
        <w:instrText xml:space="preserve"> REF _Ref500421012 \h </w:instrText>
      </w:r>
      <w:r w:rsidR="00F60EBE">
        <w:rPr>
          <w:szCs w:val="24"/>
        </w:rPr>
      </w:r>
      <w:r w:rsidR="00F60EBE">
        <w:rPr>
          <w:szCs w:val="24"/>
        </w:rPr>
        <w:fldChar w:fldCharType="separate"/>
      </w:r>
      <w:r w:rsidR="00E33BD3">
        <w:t xml:space="preserve">Figure </w:t>
      </w:r>
      <w:r w:rsidR="00E33BD3">
        <w:rPr>
          <w:noProof/>
        </w:rPr>
        <w:t>13</w:t>
      </w:r>
      <w:r w:rsidR="00F60EBE">
        <w:rPr>
          <w:szCs w:val="24"/>
        </w:rPr>
        <w:fldChar w:fldCharType="end"/>
      </w:r>
      <w:r w:rsidR="00F60EBE">
        <w:rPr>
          <w:szCs w:val="24"/>
        </w:rPr>
        <w:t>) and number of sets recorded (</w:t>
      </w:r>
      <w:r w:rsidR="00F60EBE">
        <w:rPr>
          <w:szCs w:val="24"/>
        </w:rPr>
        <w:fldChar w:fldCharType="begin"/>
      </w:r>
      <w:r w:rsidR="00F60EBE">
        <w:rPr>
          <w:szCs w:val="24"/>
        </w:rPr>
        <w:instrText xml:space="preserve"> REF _Ref500421019 \h </w:instrText>
      </w:r>
      <w:r w:rsidR="00F60EBE">
        <w:rPr>
          <w:szCs w:val="24"/>
        </w:rPr>
      </w:r>
      <w:r w:rsidR="00F60EBE">
        <w:rPr>
          <w:szCs w:val="24"/>
        </w:rPr>
        <w:fldChar w:fldCharType="separate"/>
      </w:r>
      <w:r w:rsidR="00E33BD3">
        <w:t xml:space="preserve">Figure </w:t>
      </w:r>
      <w:r w:rsidR="00E33BD3">
        <w:rPr>
          <w:noProof/>
        </w:rPr>
        <w:t>14</w:t>
      </w:r>
      <w:r w:rsidR="00F60EBE">
        <w:rPr>
          <w:szCs w:val="24"/>
        </w:rPr>
        <w:fldChar w:fldCharType="end"/>
      </w:r>
      <w:r w:rsidR="00F60EBE">
        <w:rPr>
          <w:szCs w:val="24"/>
        </w:rPr>
        <w:t>).</w:t>
      </w:r>
    </w:p>
    <w:p w14:paraId="0436D68E" w14:textId="025C743D" w:rsidR="008215A1" w:rsidRDefault="008215A1" w:rsidP="00F2303E">
      <w:pPr>
        <w:rPr>
          <w:szCs w:val="24"/>
        </w:rPr>
      </w:pPr>
      <w:r>
        <w:rPr>
          <w:szCs w:val="24"/>
        </w:rPr>
        <w:lastRenderedPageBreak/>
        <w:t xml:space="preserve">The operational data show a very different fishery than the </w:t>
      </w:r>
      <w:r w:rsidR="000D0A0F">
        <w:rPr>
          <w:szCs w:val="24"/>
        </w:rPr>
        <w:t>shallow-set</w:t>
      </w:r>
      <w:r>
        <w:rPr>
          <w:szCs w:val="24"/>
        </w:rPr>
        <w:t xml:space="preserve"> sector, where the time </w:t>
      </w:r>
      <w:r w:rsidR="00850864">
        <w:rPr>
          <w:szCs w:val="24"/>
        </w:rPr>
        <w:t xml:space="preserve">when </w:t>
      </w:r>
      <w:r>
        <w:rPr>
          <w:szCs w:val="24"/>
        </w:rPr>
        <w:t xml:space="preserve">sets </w:t>
      </w:r>
      <w:r w:rsidR="00D86C97">
        <w:rPr>
          <w:szCs w:val="24"/>
        </w:rPr>
        <w:t xml:space="preserve">were </w:t>
      </w:r>
      <w:r>
        <w:rPr>
          <w:szCs w:val="24"/>
        </w:rPr>
        <w:t xml:space="preserve">begun </w:t>
      </w:r>
      <w:r w:rsidR="00850864">
        <w:rPr>
          <w:szCs w:val="24"/>
        </w:rPr>
        <w:t xml:space="preserve">was </w:t>
      </w:r>
      <w:r>
        <w:rPr>
          <w:szCs w:val="24"/>
        </w:rPr>
        <w:t>prim</w:t>
      </w:r>
      <w:r w:rsidR="00D86C97">
        <w:rPr>
          <w:szCs w:val="24"/>
        </w:rPr>
        <w:t>a</w:t>
      </w:r>
      <w:r>
        <w:rPr>
          <w:szCs w:val="24"/>
        </w:rPr>
        <w:t>r</w:t>
      </w:r>
      <w:r w:rsidR="00D86C97">
        <w:rPr>
          <w:szCs w:val="24"/>
        </w:rPr>
        <w:t>il</w:t>
      </w:r>
      <w:r>
        <w:rPr>
          <w:szCs w:val="24"/>
        </w:rPr>
        <w:t>y during daylight hours and</w:t>
      </w:r>
      <w:r w:rsidR="00D86C97">
        <w:rPr>
          <w:szCs w:val="24"/>
        </w:rPr>
        <w:t xml:space="preserve"> </w:t>
      </w:r>
      <w:r>
        <w:rPr>
          <w:szCs w:val="24"/>
        </w:rPr>
        <w:t xml:space="preserve">few sets </w:t>
      </w:r>
      <w:r w:rsidR="00850864">
        <w:rPr>
          <w:szCs w:val="24"/>
        </w:rPr>
        <w:t xml:space="preserve">were </w:t>
      </w:r>
      <w:r w:rsidR="00027A3B">
        <w:rPr>
          <w:szCs w:val="24"/>
        </w:rPr>
        <w:t xml:space="preserve">started </w:t>
      </w:r>
      <w:r>
        <w:rPr>
          <w:szCs w:val="24"/>
        </w:rPr>
        <w:t>after dusk (</w:t>
      </w:r>
      <w:r>
        <w:rPr>
          <w:szCs w:val="24"/>
        </w:rPr>
        <w:fldChar w:fldCharType="begin"/>
      </w:r>
      <w:r>
        <w:rPr>
          <w:szCs w:val="24"/>
        </w:rPr>
        <w:instrText xml:space="preserve"> REF _Ref500487636 \h </w:instrText>
      </w:r>
      <w:r>
        <w:rPr>
          <w:szCs w:val="24"/>
        </w:rPr>
      </w:r>
      <w:r>
        <w:rPr>
          <w:szCs w:val="24"/>
        </w:rPr>
        <w:fldChar w:fldCharType="separate"/>
      </w:r>
      <w:r w:rsidR="00E33BD3">
        <w:t xml:space="preserve">Figure </w:t>
      </w:r>
      <w:r w:rsidR="00E33BD3">
        <w:rPr>
          <w:noProof/>
        </w:rPr>
        <w:t>15</w:t>
      </w:r>
      <w:r>
        <w:rPr>
          <w:szCs w:val="24"/>
        </w:rPr>
        <w:fldChar w:fldCharType="end"/>
      </w:r>
      <w:r>
        <w:rPr>
          <w:szCs w:val="24"/>
        </w:rPr>
        <w:t xml:space="preserve">). </w:t>
      </w:r>
      <w:r w:rsidR="00DA3101">
        <w:rPr>
          <w:szCs w:val="24"/>
        </w:rPr>
        <w:t>CPUE values</w:t>
      </w:r>
      <w:r>
        <w:rPr>
          <w:szCs w:val="24"/>
        </w:rPr>
        <w:t xml:space="preserve"> </w:t>
      </w:r>
      <w:r w:rsidR="00D86C97">
        <w:rPr>
          <w:szCs w:val="24"/>
        </w:rPr>
        <w:t xml:space="preserve">were </w:t>
      </w:r>
      <w:r>
        <w:rPr>
          <w:szCs w:val="24"/>
        </w:rPr>
        <w:t>generally low for all the variables explored, many without substantial trends (</w:t>
      </w:r>
      <w:r>
        <w:rPr>
          <w:szCs w:val="24"/>
        </w:rPr>
        <w:fldChar w:fldCharType="begin"/>
      </w:r>
      <w:r>
        <w:rPr>
          <w:szCs w:val="24"/>
        </w:rPr>
        <w:instrText xml:space="preserve"> REF _Ref500487707 \h </w:instrText>
      </w:r>
      <w:r>
        <w:rPr>
          <w:szCs w:val="24"/>
        </w:rPr>
      </w:r>
      <w:r>
        <w:rPr>
          <w:szCs w:val="24"/>
        </w:rPr>
        <w:fldChar w:fldCharType="separate"/>
      </w:r>
      <w:r w:rsidR="00E33BD3">
        <w:t xml:space="preserve">Figure </w:t>
      </w:r>
      <w:r w:rsidR="00E33BD3">
        <w:rPr>
          <w:noProof/>
        </w:rPr>
        <w:t>16</w:t>
      </w:r>
      <w:r>
        <w:rPr>
          <w:szCs w:val="24"/>
        </w:rPr>
        <w:fldChar w:fldCharType="end"/>
      </w:r>
      <w:r w:rsidR="00341E8B">
        <w:rPr>
          <w:szCs w:val="24"/>
        </w:rPr>
        <w:t>–</w:t>
      </w:r>
      <w:r>
        <w:rPr>
          <w:szCs w:val="24"/>
        </w:rPr>
        <w:fldChar w:fldCharType="begin"/>
      </w:r>
      <w:r>
        <w:rPr>
          <w:szCs w:val="24"/>
        </w:rPr>
        <w:instrText xml:space="preserve"> REF _Ref500487710 \h </w:instrText>
      </w:r>
      <w:r>
        <w:rPr>
          <w:szCs w:val="24"/>
        </w:rPr>
      </w:r>
      <w:r>
        <w:rPr>
          <w:szCs w:val="24"/>
        </w:rPr>
        <w:fldChar w:fldCharType="separate"/>
      </w:r>
      <w:r w:rsidR="00E33BD3">
        <w:t xml:space="preserve">Figure </w:t>
      </w:r>
      <w:r w:rsidR="00E33BD3">
        <w:rPr>
          <w:noProof/>
        </w:rPr>
        <w:t>18</w:t>
      </w:r>
      <w:r>
        <w:rPr>
          <w:szCs w:val="24"/>
        </w:rPr>
        <w:fldChar w:fldCharType="end"/>
      </w:r>
      <w:r w:rsidR="00D86C97">
        <w:rPr>
          <w:szCs w:val="24"/>
        </w:rPr>
        <w:t>). There wa</w:t>
      </w:r>
      <w:r>
        <w:rPr>
          <w:szCs w:val="24"/>
        </w:rPr>
        <w:t xml:space="preserve">s a slight decrease in </w:t>
      </w:r>
      <w:r w:rsidR="002E5D01">
        <w:rPr>
          <w:szCs w:val="24"/>
        </w:rPr>
        <w:t xml:space="preserve">CPUE </w:t>
      </w:r>
      <w:r>
        <w:rPr>
          <w:szCs w:val="24"/>
        </w:rPr>
        <w:t>with increased HPF (</w:t>
      </w:r>
      <w:r>
        <w:rPr>
          <w:szCs w:val="24"/>
        </w:rPr>
        <w:fldChar w:fldCharType="begin"/>
      </w:r>
      <w:r>
        <w:rPr>
          <w:szCs w:val="24"/>
        </w:rPr>
        <w:instrText xml:space="preserve"> REF _Ref500487707 \h </w:instrText>
      </w:r>
      <w:r>
        <w:rPr>
          <w:szCs w:val="24"/>
        </w:rPr>
      </w:r>
      <w:r>
        <w:rPr>
          <w:szCs w:val="24"/>
        </w:rPr>
        <w:fldChar w:fldCharType="separate"/>
      </w:r>
      <w:r w:rsidR="00E33BD3">
        <w:t xml:space="preserve">Figure </w:t>
      </w:r>
      <w:r w:rsidR="00E33BD3">
        <w:rPr>
          <w:noProof/>
        </w:rPr>
        <w:t>16</w:t>
      </w:r>
      <w:r>
        <w:rPr>
          <w:szCs w:val="24"/>
        </w:rPr>
        <w:fldChar w:fldCharType="end"/>
      </w:r>
      <w:r>
        <w:rPr>
          <w:szCs w:val="24"/>
        </w:rPr>
        <w:t>), an increase in C</w:t>
      </w:r>
      <w:r w:rsidR="00D86C97">
        <w:rPr>
          <w:szCs w:val="24"/>
        </w:rPr>
        <w:t>PUE at intermediate latitudes and l</w:t>
      </w:r>
      <w:r>
        <w:rPr>
          <w:szCs w:val="24"/>
        </w:rPr>
        <w:t>ongitudes</w:t>
      </w:r>
      <w:r w:rsidR="00D86C97">
        <w:rPr>
          <w:szCs w:val="24"/>
        </w:rPr>
        <w:t>,</w:t>
      </w:r>
      <w:r>
        <w:rPr>
          <w:szCs w:val="24"/>
        </w:rPr>
        <w:t xml:space="preserve"> and a decrease in CPUE with increased HPSet (</w:t>
      </w:r>
      <w:r>
        <w:rPr>
          <w:szCs w:val="24"/>
        </w:rPr>
        <w:fldChar w:fldCharType="begin"/>
      </w:r>
      <w:r>
        <w:rPr>
          <w:szCs w:val="24"/>
        </w:rPr>
        <w:instrText xml:space="preserve"> REF _Ref500487709 \h </w:instrText>
      </w:r>
      <w:r>
        <w:rPr>
          <w:szCs w:val="24"/>
        </w:rPr>
      </w:r>
      <w:r>
        <w:rPr>
          <w:szCs w:val="24"/>
        </w:rPr>
        <w:fldChar w:fldCharType="separate"/>
      </w:r>
      <w:r w:rsidR="00E33BD3">
        <w:t xml:space="preserve">Figure </w:t>
      </w:r>
      <w:r w:rsidR="00E33BD3">
        <w:rPr>
          <w:noProof/>
        </w:rPr>
        <w:t>17</w:t>
      </w:r>
      <w:r>
        <w:rPr>
          <w:szCs w:val="24"/>
        </w:rPr>
        <w:fldChar w:fldCharType="end"/>
      </w:r>
      <w:r>
        <w:rPr>
          <w:szCs w:val="24"/>
        </w:rPr>
        <w:t xml:space="preserve">). </w:t>
      </w:r>
    </w:p>
    <w:p w14:paraId="46D1C0A1" w14:textId="77777777" w:rsidR="00D86C97" w:rsidRDefault="00D86C97" w:rsidP="00D86C97">
      <w:pPr>
        <w:pStyle w:val="Heading2"/>
      </w:pPr>
      <w:r>
        <w:t>CPUE Standardization</w:t>
      </w:r>
    </w:p>
    <w:p w14:paraId="77D7BF6B" w14:textId="45844C94" w:rsidR="00A83490" w:rsidRDefault="00A83490" w:rsidP="00A83490">
      <w:r>
        <w:t>The final models for each delta-lognormal CPUE standardization explain between 25</w:t>
      </w:r>
      <w:r w:rsidR="00341E8B">
        <w:t xml:space="preserve"> and </w:t>
      </w:r>
      <w:r>
        <w:t xml:space="preserve">65% of the variability in the data with the exception of the binomial model for the </w:t>
      </w:r>
      <w:r w:rsidR="00F764D8">
        <w:t>deep-set</w:t>
      </w:r>
      <w:r>
        <w:t xml:space="preserve"> fishery which only explained 4</w:t>
      </w:r>
      <w:r w:rsidR="00976670">
        <w:t>.8</w:t>
      </w:r>
      <w:r>
        <w:t>% (</w:t>
      </w:r>
      <w:r>
        <w:fldChar w:fldCharType="begin"/>
      </w:r>
      <w:r>
        <w:instrText xml:space="preserve"> REF _Ref500488951 \h </w:instrText>
      </w:r>
      <w:r>
        <w:fldChar w:fldCharType="separate"/>
      </w:r>
      <w:r w:rsidR="00E33BD3">
        <w:t xml:space="preserve">Table </w:t>
      </w:r>
      <w:r w:rsidR="00E33BD3">
        <w:rPr>
          <w:noProof/>
        </w:rPr>
        <w:t>2</w:t>
      </w:r>
      <w:r>
        <w:fldChar w:fldCharType="end"/>
      </w:r>
      <w:r>
        <w:t xml:space="preserve">). In general, </w:t>
      </w:r>
      <w:r w:rsidR="006419A5">
        <w:t xml:space="preserve">operational and spatiotemporal variables explained the majority of the deviance in the models, with latitude, year, and quarter explaining over 10% of the deviance, each, for the </w:t>
      </w:r>
      <w:r w:rsidR="000D0A0F">
        <w:t>shallow-set</w:t>
      </w:r>
      <w:r w:rsidR="006419A5">
        <w:t xml:space="preserve"> models and hooks per set explaining 25% of the deviance in the </w:t>
      </w:r>
      <w:r w:rsidR="00F764D8">
        <w:t>deep-set</w:t>
      </w:r>
      <w:r w:rsidR="006419A5">
        <w:t xml:space="preserve"> lognormal model (</w:t>
      </w:r>
      <w:r w:rsidR="006419A5">
        <w:fldChar w:fldCharType="begin"/>
      </w:r>
      <w:r w:rsidR="006419A5">
        <w:instrText xml:space="preserve"> REF _Ref500489383 \h </w:instrText>
      </w:r>
      <w:r w:rsidR="006419A5">
        <w:fldChar w:fldCharType="separate"/>
      </w:r>
      <w:r w:rsidR="00E33BD3">
        <w:t xml:space="preserve">Table </w:t>
      </w:r>
      <w:r w:rsidR="00E33BD3">
        <w:rPr>
          <w:noProof/>
        </w:rPr>
        <w:t>3</w:t>
      </w:r>
      <w:r w:rsidR="006419A5">
        <w:fldChar w:fldCharType="end"/>
      </w:r>
      <w:r w:rsidR="006419A5">
        <w:t xml:space="preserve">). </w:t>
      </w:r>
      <w:r w:rsidR="00650EBB">
        <w:t xml:space="preserve">Lunar illumination and mixed layer depth were the two most important environmental explanatory variables for the </w:t>
      </w:r>
      <w:r w:rsidR="000D0A0F">
        <w:t>shallow-set</w:t>
      </w:r>
      <w:r w:rsidR="00650EBB">
        <w:t xml:space="preserve"> data and sea surface temperature was an important variable in the </w:t>
      </w:r>
      <w:r w:rsidR="00F764D8">
        <w:t>deep-set</w:t>
      </w:r>
      <w:r w:rsidR="00650EBB">
        <w:t xml:space="preserve"> data</w:t>
      </w:r>
      <w:r w:rsidR="00FB4910">
        <w:t>, although each only explained a small portion of the deviance (</w:t>
      </w:r>
      <w:r w:rsidR="00B53796">
        <w:t>generally &lt;</w:t>
      </w:r>
      <w:r w:rsidR="00341E8B">
        <w:t xml:space="preserve"> </w:t>
      </w:r>
      <w:r w:rsidR="00B53796">
        <w:t>2%</w:t>
      </w:r>
      <w:r w:rsidR="00FB4910">
        <w:t>)</w:t>
      </w:r>
      <w:r w:rsidR="00650EBB">
        <w:t xml:space="preserve">. </w:t>
      </w:r>
      <w:r w:rsidR="006419A5">
        <w:t>The climatological indices PDO and SOI and longitude were not important variables and explained less than 1% of the deviance in any of the models.</w:t>
      </w:r>
    </w:p>
    <w:p w14:paraId="2AD77165" w14:textId="1DF78D96" w:rsidR="002F54E5" w:rsidRDefault="002F54E5" w:rsidP="00A83490">
      <w:r>
        <w:t xml:space="preserve">The standardized annual CPUE indices for the </w:t>
      </w:r>
      <w:r w:rsidR="000D0A0F">
        <w:t>shallow-set</w:t>
      </w:r>
      <w:r>
        <w:t xml:space="preserve"> fishery </w:t>
      </w:r>
      <w:r w:rsidR="00327A8E">
        <w:t xml:space="preserve">were lower than the nominal </w:t>
      </w:r>
      <w:r w:rsidR="00DA3101">
        <w:t>CPUE values</w:t>
      </w:r>
      <w:r w:rsidR="00327A8E">
        <w:t xml:space="preserve">. </w:t>
      </w:r>
      <w:r>
        <w:t xml:space="preserve">The early period had </w:t>
      </w:r>
      <w:r w:rsidR="000E6AAE">
        <w:t xml:space="preserve">high </w:t>
      </w:r>
      <w:r>
        <w:t>coefficient</w:t>
      </w:r>
      <w:r w:rsidR="0007749C">
        <w:t>s</w:t>
      </w:r>
      <w:r>
        <w:t xml:space="preserve"> of variation due to the high uncertainty in the binomial proportion positives model (</w:t>
      </w:r>
      <w:r>
        <w:fldChar w:fldCharType="begin"/>
      </w:r>
      <w:r>
        <w:instrText xml:space="preserve"> REF _Ref500489617 \h </w:instrText>
      </w:r>
      <w:r>
        <w:fldChar w:fldCharType="separate"/>
      </w:r>
      <w:r w:rsidR="00E33BD3">
        <w:t xml:space="preserve">Table </w:t>
      </w:r>
      <w:r w:rsidR="00E33BD3">
        <w:rPr>
          <w:noProof/>
        </w:rPr>
        <w:t>4</w:t>
      </w:r>
      <w:r>
        <w:fldChar w:fldCharType="end"/>
      </w:r>
      <w:r>
        <w:t xml:space="preserve">, </w:t>
      </w:r>
      <w:r>
        <w:fldChar w:fldCharType="begin"/>
      </w:r>
      <w:r>
        <w:instrText xml:space="preserve"> REF _Ref500489646 \h </w:instrText>
      </w:r>
      <w:r>
        <w:fldChar w:fldCharType="separate"/>
      </w:r>
      <w:r w:rsidR="00E33BD3">
        <w:t xml:space="preserve">Figure </w:t>
      </w:r>
      <w:r w:rsidR="00E33BD3">
        <w:rPr>
          <w:noProof/>
        </w:rPr>
        <w:t>19</w:t>
      </w:r>
      <w:r>
        <w:fldChar w:fldCharType="end"/>
      </w:r>
      <w:r>
        <w:t xml:space="preserve">). The late period </w:t>
      </w:r>
      <w:r w:rsidR="000D0A0F">
        <w:t>shallow-set</w:t>
      </w:r>
      <w:r>
        <w:t xml:space="preserve"> standardized </w:t>
      </w:r>
      <w:r w:rsidR="00DA3101">
        <w:t>CPUE values</w:t>
      </w:r>
      <w:r>
        <w:t xml:space="preserve"> </w:t>
      </w:r>
      <w:r w:rsidR="00327A8E">
        <w:t>were</w:t>
      </w:r>
      <w:r>
        <w:t xml:space="preserve"> closer to the nominal </w:t>
      </w:r>
      <w:r w:rsidR="00DA3101">
        <w:t>CPUE values</w:t>
      </w:r>
      <w:r>
        <w:t xml:space="preserve"> and have a lower CV. Both time periods follow a similar trend as the nominal </w:t>
      </w:r>
      <w:r w:rsidR="00DA3101">
        <w:t>CPUE values</w:t>
      </w:r>
      <w:r>
        <w:t xml:space="preserve">, however the absolute change in CPUE between years </w:t>
      </w:r>
      <w:r w:rsidR="0036763F">
        <w:t xml:space="preserve">was </w:t>
      </w:r>
      <w:r>
        <w:t xml:space="preserve">much less for the standardized values. </w:t>
      </w:r>
      <w:r w:rsidR="00757399">
        <w:t xml:space="preserve">Model diagnostics for the lognormal positive catches for both time periods </w:t>
      </w:r>
      <w:r w:rsidR="004161BB">
        <w:t xml:space="preserve">and binomial proportion positive catches for the early time period </w:t>
      </w:r>
      <w:r w:rsidR="00757399">
        <w:t>indicate a good model fit. Neither time period have substantial patterns in the residual plots</w:t>
      </w:r>
      <w:r w:rsidR="00327A8E">
        <w:t>.</w:t>
      </w:r>
      <w:r w:rsidR="00757399">
        <w:t xml:space="preserve"> </w:t>
      </w:r>
      <w:r w:rsidR="00327A8E">
        <w:t>In t</w:t>
      </w:r>
      <w:r w:rsidR="00757399">
        <w:t xml:space="preserve">he early time period </w:t>
      </w:r>
      <w:r w:rsidR="00327A8E">
        <w:t>the Q-Q plot and Pearson residual histogram plot suggests that they we</w:t>
      </w:r>
      <w:r w:rsidR="00757399">
        <w:t>re approximately normal (</w:t>
      </w:r>
      <w:r w:rsidR="00757399">
        <w:fldChar w:fldCharType="begin"/>
      </w:r>
      <w:r w:rsidR="00757399">
        <w:instrText xml:space="preserve"> REF _Ref500489850 \h </w:instrText>
      </w:r>
      <w:r w:rsidR="00757399">
        <w:fldChar w:fldCharType="separate"/>
      </w:r>
      <w:r w:rsidR="00E33BD3">
        <w:t xml:space="preserve">Figure </w:t>
      </w:r>
      <w:r w:rsidR="00E33BD3">
        <w:rPr>
          <w:noProof/>
        </w:rPr>
        <w:t>20</w:t>
      </w:r>
      <w:r w:rsidR="00757399">
        <w:fldChar w:fldCharType="end"/>
      </w:r>
      <w:r w:rsidR="00757399">
        <w:t>).</w:t>
      </w:r>
      <w:r w:rsidR="004161BB">
        <w:t xml:space="preserve"> The Quantile residual histogram for the binomial model looks approximately normal with no </w:t>
      </w:r>
      <w:r w:rsidR="008F0FF2">
        <w:t xml:space="preserve">apparent </w:t>
      </w:r>
      <w:r w:rsidR="004161BB">
        <w:t>patterns in the residuals (</w:t>
      </w:r>
      <w:r w:rsidR="004161BB">
        <w:fldChar w:fldCharType="begin"/>
      </w:r>
      <w:r w:rsidR="004161BB">
        <w:instrText xml:space="preserve"> REF _Ref500921717 \h </w:instrText>
      </w:r>
      <w:r w:rsidR="004161BB">
        <w:fldChar w:fldCharType="separate"/>
      </w:r>
      <w:r w:rsidR="00E33BD3">
        <w:t xml:space="preserve">Figure </w:t>
      </w:r>
      <w:r w:rsidR="00E33BD3">
        <w:rPr>
          <w:noProof/>
        </w:rPr>
        <w:t>21</w:t>
      </w:r>
      <w:r w:rsidR="004161BB">
        <w:fldChar w:fldCharType="end"/>
      </w:r>
      <w:r w:rsidR="004161BB">
        <w:t>).</w:t>
      </w:r>
      <w:r w:rsidR="00757399">
        <w:t xml:space="preserve"> Fits for the late time period </w:t>
      </w:r>
      <w:r w:rsidR="00327A8E">
        <w:t>were</w:t>
      </w:r>
      <w:r w:rsidR="00757399">
        <w:t xml:space="preserve"> </w:t>
      </w:r>
      <w:r w:rsidR="00ED7DC2">
        <w:t>not as good, with a slight skew in the Pearson residuals and a curved line in the Q-Q plot (</w:t>
      </w:r>
      <w:r w:rsidR="00ED7DC2">
        <w:fldChar w:fldCharType="begin"/>
      </w:r>
      <w:r w:rsidR="00ED7DC2">
        <w:instrText xml:space="preserve"> REF _Ref500489924 \h </w:instrText>
      </w:r>
      <w:r w:rsidR="00ED7DC2">
        <w:fldChar w:fldCharType="separate"/>
      </w:r>
      <w:r w:rsidR="00E33BD3">
        <w:t xml:space="preserve">Figure </w:t>
      </w:r>
      <w:r w:rsidR="00E33BD3">
        <w:rPr>
          <w:noProof/>
        </w:rPr>
        <w:t>22</w:t>
      </w:r>
      <w:r w:rsidR="00ED7DC2">
        <w:fldChar w:fldCharType="end"/>
      </w:r>
      <w:r w:rsidR="00ED7DC2">
        <w:t xml:space="preserve">). However neither model indicate poor model fit. </w:t>
      </w:r>
    </w:p>
    <w:p w14:paraId="2625FD8B" w14:textId="4FA3D12C" w:rsidR="00ED7DC2" w:rsidRPr="00A83490" w:rsidRDefault="00ED7DC2" w:rsidP="00A83490">
      <w:r>
        <w:t xml:space="preserve">The </w:t>
      </w:r>
      <w:r w:rsidR="00F764D8">
        <w:t>deep-set</w:t>
      </w:r>
      <w:r>
        <w:t xml:space="preserve"> fishery standardized </w:t>
      </w:r>
      <w:r w:rsidR="00DA3101">
        <w:t>CPUE values</w:t>
      </w:r>
      <w:r>
        <w:t xml:space="preserve"> </w:t>
      </w:r>
      <w:r w:rsidR="00327A8E">
        <w:t>were</w:t>
      </w:r>
      <w:r>
        <w:t xml:space="preserve"> slightly higher than the nominal </w:t>
      </w:r>
      <w:r w:rsidR="00DA3101">
        <w:t>CPUE values</w:t>
      </w:r>
      <w:r>
        <w:t xml:space="preserve"> and, like the early </w:t>
      </w:r>
      <w:r w:rsidR="000D0A0F">
        <w:t>shallow-set</w:t>
      </w:r>
      <w:r>
        <w:t xml:space="preserve"> </w:t>
      </w:r>
      <w:r w:rsidR="00DA3101">
        <w:t>CPUE values</w:t>
      </w:r>
      <w:r>
        <w:t>, have very high CVs (</w:t>
      </w:r>
      <w:r>
        <w:fldChar w:fldCharType="begin"/>
      </w:r>
      <w:r>
        <w:instrText xml:space="preserve"> REF _Ref500489617 \h </w:instrText>
      </w:r>
      <w:r>
        <w:fldChar w:fldCharType="separate"/>
      </w:r>
      <w:r w:rsidR="00E33BD3">
        <w:t xml:space="preserve">Table </w:t>
      </w:r>
      <w:r w:rsidR="00E33BD3">
        <w:rPr>
          <w:noProof/>
        </w:rPr>
        <w:t>4</w:t>
      </w:r>
      <w:r>
        <w:fldChar w:fldCharType="end"/>
      </w:r>
      <w:r>
        <w:t xml:space="preserve">, </w:t>
      </w:r>
      <w:r>
        <w:fldChar w:fldCharType="begin"/>
      </w:r>
      <w:r>
        <w:instrText xml:space="preserve"> REF _Ref500490022 \h </w:instrText>
      </w:r>
      <w:r>
        <w:fldChar w:fldCharType="separate"/>
      </w:r>
      <w:r w:rsidR="00E33BD3">
        <w:t xml:space="preserve">Figure </w:t>
      </w:r>
      <w:r w:rsidR="00E33BD3">
        <w:rPr>
          <w:noProof/>
        </w:rPr>
        <w:t>23</w:t>
      </w:r>
      <w:r>
        <w:fldChar w:fldCharType="end"/>
      </w:r>
      <w:r>
        <w:t xml:space="preserve">). The diagnostics for the </w:t>
      </w:r>
      <w:r w:rsidR="00F764D8">
        <w:t>deep-set</w:t>
      </w:r>
      <w:r>
        <w:t xml:space="preserve"> lognormal model suggest some problems with model fit, as </w:t>
      </w:r>
      <w:r w:rsidR="00313913">
        <w:t xml:space="preserve">more than one </w:t>
      </w:r>
      <w:r>
        <w:t xml:space="preserve">cloud of residuals can be seen in the residual plot and the Q-Q plot has some considerable deviations </w:t>
      </w:r>
      <w:r w:rsidR="002E5D01">
        <w:t xml:space="preserve">from normality </w:t>
      </w:r>
      <w:r>
        <w:t>(</w:t>
      </w:r>
      <w:r w:rsidR="003D21D6">
        <w:fldChar w:fldCharType="begin"/>
      </w:r>
      <w:r w:rsidR="003D21D6">
        <w:instrText xml:space="preserve"> REF _Ref500490559 \h </w:instrText>
      </w:r>
      <w:r w:rsidR="003D21D6">
        <w:fldChar w:fldCharType="separate"/>
      </w:r>
      <w:r w:rsidR="00E33BD3">
        <w:t xml:space="preserve">Figure </w:t>
      </w:r>
      <w:r w:rsidR="00E33BD3">
        <w:rPr>
          <w:noProof/>
        </w:rPr>
        <w:t>24</w:t>
      </w:r>
      <w:r w:rsidR="003D21D6">
        <w:fldChar w:fldCharType="end"/>
      </w:r>
      <w:r w:rsidR="003D21D6">
        <w:t>).</w:t>
      </w:r>
      <w:r w:rsidR="004161BB">
        <w:t xml:space="preserve"> However, the binomial model diagnostics suggest good model fit (</w:t>
      </w:r>
      <w:r w:rsidR="004161BB">
        <w:fldChar w:fldCharType="begin"/>
      </w:r>
      <w:r w:rsidR="004161BB">
        <w:instrText xml:space="preserve"> REF _Ref500921814 \h </w:instrText>
      </w:r>
      <w:r w:rsidR="004161BB">
        <w:fldChar w:fldCharType="separate"/>
      </w:r>
      <w:r w:rsidR="00E33BD3">
        <w:t xml:space="preserve">Figure </w:t>
      </w:r>
      <w:r w:rsidR="00E33BD3">
        <w:rPr>
          <w:noProof/>
        </w:rPr>
        <w:t>25</w:t>
      </w:r>
      <w:r w:rsidR="004161BB">
        <w:fldChar w:fldCharType="end"/>
      </w:r>
      <w:r w:rsidR="004161BB">
        <w:t>).</w:t>
      </w:r>
      <w:r w:rsidR="006E3B63">
        <w:t xml:space="preserve"> Additional diagnostic plots for the models </w:t>
      </w:r>
      <w:r w:rsidR="00327A8E">
        <w:t>were</w:t>
      </w:r>
      <w:r w:rsidR="006E3B63">
        <w:t xml:space="preserve"> available in the appendix. Quarterly time step standardized </w:t>
      </w:r>
      <w:r w:rsidR="00DA3101">
        <w:t>CPUE values</w:t>
      </w:r>
      <w:r w:rsidR="006E3B63">
        <w:t xml:space="preserve"> for both fleets</w:t>
      </w:r>
      <w:r w:rsidR="00B94F1C">
        <w:t>/all three time series</w:t>
      </w:r>
      <w:r w:rsidR="006E3B63">
        <w:t xml:space="preserve"> </w:t>
      </w:r>
      <w:r w:rsidR="00B94F1C">
        <w:t xml:space="preserve">are </w:t>
      </w:r>
      <w:r w:rsidR="006E3B63">
        <w:t xml:space="preserve">available in </w:t>
      </w:r>
      <w:r w:rsidR="006E3B63">
        <w:fldChar w:fldCharType="begin"/>
      </w:r>
      <w:r w:rsidR="006E3B63">
        <w:instrText xml:space="preserve"> REF _Ref500490066 \h </w:instrText>
      </w:r>
      <w:r w:rsidR="006E3B63">
        <w:fldChar w:fldCharType="separate"/>
      </w:r>
      <w:r w:rsidR="00E33BD3">
        <w:t xml:space="preserve">Table </w:t>
      </w:r>
      <w:r w:rsidR="00E33BD3">
        <w:rPr>
          <w:noProof/>
        </w:rPr>
        <w:t>5</w:t>
      </w:r>
      <w:r w:rsidR="006E3B63">
        <w:fldChar w:fldCharType="end"/>
      </w:r>
      <w:r w:rsidR="006E3B63">
        <w:t>.</w:t>
      </w:r>
    </w:p>
    <w:p w14:paraId="1A7C8CC6" w14:textId="77777777" w:rsidR="006D6CD3" w:rsidRDefault="008F5517" w:rsidP="00A95B9F">
      <w:pPr>
        <w:pStyle w:val="Heading1"/>
      </w:pPr>
      <w:r>
        <w:lastRenderedPageBreak/>
        <w:t>Discussion</w:t>
      </w:r>
    </w:p>
    <w:p w14:paraId="37314226" w14:textId="00A5C061" w:rsidR="001523F4" w:rsidRDefault="001562DB" w:rsidP="001523F4">
      <w:pPr>
        <w:rPr>
          <w:szCs w:val="24"/>
        </w:rPr>
      </w:pPr>
      <w:r>
        <w:rPr>
          <w:szCs w:val="24"/>
        </w:rPr>
        <w:t xml:space="preserve">The delta-lognormal CPUE standardization </w:t>
      </w:r>
      <w:r w:rsidR="0036763F">
        <w:rPr>
          <w:szCs w:val="24"/>
        </w:rPr>
        <w:t xml:space="preserve">was </w:t>
      </w:r>
      <w:r>
        <w:rPr>
          <w:szCs w:val="24"/>
        </w:rPr>
        <w:t>consistent with previous standardizations in explaining between 25</w:t>
      </w:r>
      <w:r w:rsidR="00341E8B">
        <w:rPr>
          <w:szCs w:val="24"/>
        </w:rPr>
        <w:t xml:space="preserve"> and </w:t>
      </w:r>
      <w:r>
        <w:rPr>
          <w:szCs w:val="24"/>
        </w:rPr>
        <w:t xml:space="preserve">65% of the deviance in the model (Bigelow </w:t>
      </w:r>
      <w:r w:rsidRPr="00125ED7">
        <w:rPr>
          <w:i/>
          <w:szCs w:val="24"/>
        </w:rPr>
        <w:t>et al</w:t>
      </w:r>
      <w:r w:rsidR="00125ED7">
        <w:rPr>
          <w:szCs w:val="24"/>
        </w:rPr>
        <w:t>.,</w:t>
      </w:r>
      <w:r>
        <w:rPr>
          <w:szCs w:val="24"/>
        </w:rPr>
        <w:t xml:space="preserve"> 1999</w:t>
      </w:r>
      <w:r w:rsidR="002E5D01">
        <w:rPr>
          <w:szCs w:val="24"/>
        </w:rPr>
        <w:t>, Courtney et al., 2009, Walsh and Brodziak 2014</w:t>
      </w:r>
      <w:r>
        <w:rPr>
          <w:szCs w:val="24"/>
        </w:rPr>
        <w:t xml:space="preserve">). </w:t>
      </w:r>
      <w:r w:rsidR="001523F4">
        <w:rPr>
          <w:szCs w:val="24"/>
        </w:rPr>
        <w:t xml:space="preserve">Operational and spatiotemporal variables were important in the determination of if there was a positive catch in the early </w:t>
      </w:r>
      <w:r w:rsidR="000D0A0F">
        <w:rPr>
          <w:szCs w:val="24"/>
        </w:rPr>
        <w:t>shallow-set</w:t>
      </w:r>
      <w:r w:rsidR="001523F4">
        <w:rPr>
          <w:szCs w:val="24"/>
        </w:rPr>
        <w:t xml:space="preserve"> longline fishery and the </w:t>
      </w:r>
      <w:r w:rsidR="00F764D8">
        <w:rPr>
          <w:szCs w:val="24"/>
        </w:rPr>
        <w:t>deep-set</w:t>
      </w:r>
      <w:r w:rsidR="001523F4">
        <w:rPr>
          <w:szCs w:val="24"/>
        </w:rPr>
        <w:t xml:space="preserve"> fishery.</w:t>
      </w:r>
      <w:r w:rsidR="001523F4" w:rsidRPr="001523F4">
        <w:rPr>
          <w:szCs w:val="24"/>
        </w:rPr>
        <w:t xml:space="preserve"> </w:t>
      </w:r>
      <w:r w:rsidR="001523F4">
        <w:rPr>
          <w:szCs w:val="24"/>
        </w:rPr>
        <w:t>Of the environmental variables considered, sea surface temperature, mixed layer depth, and lunar illumination were the most important variables, with the two climatological variables</w:t>
      </w:r>
      <w:r w:rsidR="009B6585">
        <w:rPr>
          <w:szCs w:val="24"/>
        </w:rPr>
        <w:t xml:space="preserve"> PDO and SOI</w:t>
      </w:r>
      <w:r w:rsidR="001523F4">
        <w:rPr>
          <w:szCs w:val="24"/>
        </w:rPr>
        <w:t xml:space="preserve"> explaining very little of the variability in the data and excluded in all of the models except the proportion positive catches for the </w:t>
      </w:r>
      <w:r w:rsidR="00F764D8">
        <w:rPr>
          <w:szCs w:val="24"/>
        </w:rPr>
        <w:t>deep-set</w:t>
      </w:r>
      <w:r w:rsidR="001523F4">
        <w:rPr>
          <w:szCs w:val="24"/>
        </w:rPr>
        <w:t xml:space="preserve"> fishery</w:t>
      </w:r>
      <w:r w:rsidR="009B6585">
        <w:rPr>
          <w:szCs w:val="24"/>
        </w:rPr>
        <w:t>.</w:t>
      </w:r>
      <w:r w:rsidR="001523F4">
        <w:rPr>
          <w:szCs w:val="24"/>
        </w:rPr>
        <w:t xml:space="preserve"> This suggest</w:t>
      </w:r>
      <w:r w:rsidR="009B6585">
        <w:rPr>
          <w:szCs w:val="24"/>
        </w:rPr>
        <w:t>s</w:t>
      </w:r>
      <w:r w:rsidR="001523F4">
        <w:rPr>
          <w:szCs w:val="24"/>
        </w:rPr>
        <w:t xml:space="preserve"> that variables on a smaller time or spatial scale </w:t>
      </w:r>
      <w:r w:rsidR="00EF40E5">
        <w:rPr>
          <w:szCs w:val="24"/>
        </w:rPr>
        <w:t>were</w:t>
      </w:r>
      <w:r w:rsidR="001523F4">
        <w:rPr>
          <w:szCs w:val="24"/>
        </w:rPr>
        <w:t xml:space="preserve"> important factors in swordfish</w:t>
      </w:r>
      <w:r w:rsidR="00A35D03">
        <w:rPr>
          <w:szCs w:val="24"/>
        </w:rPr>
        <w:t>’</w:t>
      </w:r>
      <w:r w:rsidR="001523F4">
        <w:rPr>
          <w:szCs w:val="24"/>
        </w:rPr>
        <w:t xml:space="preserve">s </w:t>
      </w:r>
      <w:r w:rsidR="002E0CE4">
        <w:rPr>
          <w:szCs w:val="24"/>
        </w:rPr>
        <w:t xml:space="preserve">susceptibility </w:t>
      </w:r>
      <w:r w:rsidR="001523F4">
        <w:rPr>
          <w:szCs w:val="24"/>
        </w:rPr>
        <w:t>to the longline gear</w:t>
      </w:r>
      <w:r w:rsidR="0016408D">
        <w:rPr>
          <w:szCs w:val="24"/>
        </w:rPr>
        <w:t>, with environmental variables less influential</w:t>
      </w:r>
      <w:r w:rsidR="001523F4">
        <w:rPr>
          <w:szCs w:val="24"/>
        </w:rPr>
        <w:t xml:space="preserve">. </w:t>
      </w:r>
    </w:p>
    <w:p w14:paraId="77C38AD0" w14:textId="39E3E2B9" w:rsidR="001523F4" w:rsidRDefault="001523F4" w:rsidP="001523F4">
      <w:pPr>
        <w:rPr>
          <w:szCs w:val="24"/>
        </w:rPr>
      </w:pPr>
      <w:r>
        <w:rPr>
          <w:szCs w:val="24"/>
        </w:rPr>
        <w:t xml:space="preserve">The change in the </w:t>
      </w:r>
      <w:r w:rsidR="000D0A0F">
        <w:rPr>
          <w:szCs w:val="24"/>
        </w:rPr>
        <w:t>shallow-set</w:t>
      </w:r>
      <w:r>
        <w:rPr>
          <w:szCs w:val="24"/>
        </w:rPr>
        <w:t xml:space="preserve"> fishery after the 2001</w:t>
      </w:r>
      <w:r w:rsidR="00341E8B">
        <w:rPr>
          <w:szCs w:val="24"/>
        </w:rPr>
        <w:t>–</w:t>
      </w:r>
      <w:r>
        <w:rPr>
          <w:szCs w:val="24"/>
        </w:rPr>
        <w:t xml:space="preserve">2004 closure </w:t>
      </w:r>
      <w:r w:rsidR="0036763F">
        <w:rPr>
          <w:szCs w:val="24"/>
        </w:rPr>
        <w:t xml:space="preserve">was </w:t>
      </w:r>
      <w:r w:rsidR="008F0FF2">
        <w:rPr>
          <w:szCs w:val="24"/>
        </w:rPr>
        <w:t xml:space="preserve">apparent </w:t>
      </w:r>
      <w:r>
        <w:rPr>
          <w:szCs w:val="24"/>
        </w:rPr>
        <w:t xml:space="preserve">from the operational data. After the closure, shallow sets </w:t>
      </w:r>
      <w:r w:rsidR="008F0FF2">
        <w:rPr>
          <w:szCs w:val="24"/>
        </w:rPr>
        <w:t>use</w:t>
      </w:r>
      <w:r>
        <w:rPr>
          <w:szCs w:val="24"/>
        </w:rPr>
        <w:t>d almost exclusively 4</w:t>
      </w:r>
      <w:r w:rsidR="00341E8B">
        <w:rPr>
          <w:szCs w:val="24"/>
        </w:rPr>
        <w:t>–</w:t>
      </w:r>
      <w:r>
        <w:rPr>
          <w:szCs w:val="24"/>
        </w:rPr>
        <w:t xml:space="preserve">6 hooks per float and were set mostly around dusk to before midnight. This change in operations likely explains the low number of zero catch sets and the high </w:t>
      </w:r>
      <w:r w:rsidR="00DA3101">
        <w:rPr>
          <w:szCs w:val="24"/>
        </w:rPr>
        <w:t>CPUE values</w:t>
      </w:r>
      <w:r>
        <w:rPr>
          <w:szCs w:val="24"/>
        </w:rPr>
        <w:t xml:space="preserve"> compared to the shallow sets prior to the closure. In the binomial model of the proportion positive catches for the early </w:t>
      </w:r>
      <w:r w:rsidR="000D0A0F">
        <w:rPr>
          <w:szCs w:val="24"/>
        </w:rPr>
        <w:t>shallow-set</w:t>
      </w:r>
      <w:r>
        <w:rPr>
          <w:szCs w:val="24"/>
        </w:rPr>
        <w:t xml:space="preserve"> fishery</w:t>
      </w:r>
      <w:r w:rsidR="00B71FAE">
        <w:rPr>
          <w:szCs w:val="24"/>
        </w:rPr>
        <w:t>,</w:t>
      </w:r>
      <w:r>
        <w:rPr>
          <w:szCs w:val="24"/>
        </w:rPr>
        <w:t xml:space="preserve"> only one environmental</w:t>
      </w:r>
      <w:r w:rsidR="005826D4">
        <w:rPr>
          <w:szCs w:val="24"/>
        </w:rPr>
        <w:t xml:space="preserve"> variable was significant with the operational variables accounting for a large portion of the percent deviance explained. This also suggests that the probability of making a positive catch </w:t>
      </w:r>
      <w:r w:rsidR="0036763F">
        <w:rPr>
          <w:szCs w:val="24"/>
        </w:rPr>
        <w:t xml:space="preserve">was </w:t>
      </w:r>
      <w:r w:rsidR="005826D4">
        <w:rPr>
          <w:szCs w:val="24"/>
        </w:rPr>
        <w:t>based upon the decision of a fisherman to target swordfish and after the closure all shallow sets were specifically to target swordfish</w:t>
      </w:r>
      <w:r w:rsidR="009B6585">
        <w:rPr>
          <w:szCs w:val="24"/>
        </w:rPr>
        <w:t xml:space="preserve"> while before the closure some shallow sets may have been targeting other species</w:t>
      </w:r>
      <w:r w:rsidR="005826D4">
        <w:rPr>
          <w:szCs w:val="24"/>
        </w:rPr>
        <w:t>.</w:t>
      </w:r>
    </w:p>
    <w:p w14:paraId="23B133B1" w14:textId="767DB7AF" w:rsidR="001562DB" w:rsidRDefault="001562DB" w:rsidP="001523F4">
      <w:pPr>
        <w:rPr>
          <w:szCs w:val="24"/>
        </w:rPr>
      </w:pPr>
      <w:r>
        <w:rPr>
          <w:szCs w:val="24"/>
        </w:rPr>
        <w:t>The influence of SST on swordfish CPUE has been widely documented</w:t>
      </w:r>
      <w:r w:rsidR="001523F4">
        <w:rPr>
          <w:szCs w:val="24"/>
        </w:rPr>
        <w:t>.</w:t>
      </w:r>
      <w:r>
        <w:rPr>
          <w:szCs w:val="24"/>
        </w:rPr>
        <w:t xml:space="preserve"> </w:t>
      </w:r>
      <w:r w:rsidR="001523F4">
        <w:rPr>
          <w:szCs w:val="24"/>
        </w:rPr>
        <w:t>L</w:t>
      </w:r>
      <w:r>
        <w:rPr>
          <w:szCs w:val="24"/>
        </w:rPr>
        <w:t xml:space="preserve">ower SST have higher catch rates than warmer SST (Bigelow </w:t>
      </w:r>
      <w:r w:rsidRPr="00460E99">
        <w:rPr>
          <w:i/>
          <w:szCs w:val="24"/>
        </w:rPr>
        <w:t>et al</w:t>
      </w:r>
      <w:r w:rsidR="00460E99" w:rsidRPr="00460E99">
        <w:rPr>
          <w:i/>
          <w:szCs w:val="24"/>
        </w:rPr>
        <w:t>.</w:t>
      </w:r>
      <w:r w:rsidR="00460E99">
        <w:rPr>
          <w:szCs w:val="24"/>
        </w:rPr>
        <w:t>,</w:t>
      </w:r>
      <w:r>
        <w:rPr>
          <w:szCs w:val="24"/>
        </w:rPr>
        <w:t xml:space="preserve"> 1999). </w:t>
      </w:r>
      <w:r w:rsidR="001B04AE">
        <w:rPr>
          <w:szCs w:val="24"/>
        </w:rPr>
        <w:t>SST explained &gt;</w:t>
      </w:r>
      <w:r w:rsidR="00341E8B">
        <w:rPr>
          <w:szCs w:val="24"/>
        </w:rPr>
        <w:t xml:space="preserve"> </w:t>
      </w:r>
      <w:r w:rsidR="001B04AE">
        <w:rPr>
          <w:szCs w:val="24"/>
        </w:rPr>
        <w:t xml:space="preserve">5% of the deviance in </w:t>
      </w:r>
      <w:r w:rsidR="001523F4">
        <w:rPr>
          <w:szCs w:val="24"/>
        </w:rPr>
        <w:t xml:space="preserve">the </w:t>
      </w:r>
      <w:r w:rsidR="000D0A0F">
        <w:rPr>
          <w:szCs w:val="24"/>
        </w:rPr>
        <w:t>shallow-set</w:t>
      </w:r>
      <w:r w:rsidR="001523F4">
        <w:rPr>
          <w:szCs w:val="24"/>
        </w:rPr>
        <w:t xml:space="preserve"> models, however</w:t>
      </w:r>
      <w:r w:rsidR="001B04AE">
        <w:rPr>
          <w:szCs w:val="24"/>
        </w:rPr>
        <w:t xml:space="preserve"> </w:t>
      </w:r>
      <w:r w:rsidR="001523F4">
        <w:rPr>
          <w:szCs w:val="24"/>
        </w:rPr>
        <w:t>i</w:t>
      </w:r>
      <w:r w:rsidR="001B04AE">
        <w:rPr>
          <w:szCs w:val="24"/>
        </w:rPr>
        <w:t xml:space="preserve">t </w:t>
      </w:r>
      <w:r w:rsidR="0036763F">
        <w:rPr>
          <w:szCs w:val="24"/>
        </w:rPr>
        <w:t xml:space="preserve">was </w:t>
      </w:r>
      <w:r w:rsidR="001B04AE">
        <w:rPr>
          <w:szCs w:val="24"/>
        </w:rPr>
        <w:t>correlated with both latitude (</w:t>
      </w:r>
      <w:r w:rsidR="00C409E2">
        <w:rPr>
          <w:szCs w:val="24"/>
        </w:rPr>
        <w:t xml:space="preserve">Pearson </w:t>
      </w:r>
      <w:r w:rsidR="001B04AE">
        <w:rPr>
          <w:szCs w:val="24"/>
        </w:rPr>
        <w:t xml:space="preserve">correlation </w:t>
      </w:r>
      <w:r w:rsidR="00C409E2">
        <w:rPr>
          <w:szCs w:val="24"/>
        </w:rPr>
        <w:t>ρ</w:t>
      </w:r>
      <w:r w:rsidR="00341E8B">
        <w:rPr>
          <w:szCs w:val="24"/>
        </w:rPr>
        <w:t xml:space="preserve"> </w:t>
      </w:r>
      <w:r w:rsidR="001B04AE">
        <w:rPr>
          <w:szCs w:val="24"/>
        </w:rPr>
        <w:t>= -</w:t>
      </w:r>
      <w:r w:rsidR="00341E8B">
        <w:rPr>
          <w:szCs w:val="24"/>
        </w:rPr>
        <w:t xml:space="preserve"> </w:t>
      </w:r>
      <w:r w:rsidR="001B04AE">
        <w:rPr>
          <w:szCs w:val="24"/>
        </w:rPr>
        <w:t>0.23) and longitude</w:t>
      </w:r>
      <w:r w:rsidR="001B04AE" w:rsidRPr="001B04AE">
        <w:rPr>
          <w:szCs w:val="24"/>
        </w:rPr>
        <w:t xml:space="preserve"> </w:t>
      </w:r>
      <w:r w:rsidR="001B04AE">
        <w:rPr>
          <w:szCs w:val="24"/>
        </w:rPr>
        <w:t>(</w:t>
      </w:r>
      <w:r w:rsidR="00C409E2">
        <w:rPr>
          <w:szCs w:val="24"/>
        </w:rPr>
        <w:t>ρ</w:t>
      </w:r>
      <w:r w:rsidR="00C409E2" w:rsidDel="00C409E2">
        <w:rPr>
          <w:szCs w:val="24"/>
        </w:rPr>
        <w:t xml:space="preserve"> </w:t>
      </w:r>
      <w:r w:rsidR="001B04AE">
        <w:rPr>
          <w:szCs w:val="24"/>
        </w:rPr>
        <w:t>= -</w:t>
      </w:r>
      <w:r w:rsidR="00341E8B">
        <w:rPr>
          <w:szCs w:val="24"/>
        </w:rPr>
        <w:t xml:space="preserve"> </w:t>
      </w:r>
      <w:r w:rsidR="001B04AE">
        <w:rPr>
          <w:szCs w:val="24"/>
        </w:rPr>
        <w:t>0.21)</w:t>
      </w:r>
      <w:r w:rsidR="001523F4">
        <w:rPr>
          <w:szCs w:val="24"/>
        </w:rPr>
        <w:t>.</w:t>
      </w:r>
      <w:r w:rsidR="001B04AE">
        <w:rPr>
          <w:szCs w:val="24"/>
        </w:rPr>
        <w:t xml:space="preserve"> </w:t>
      </w:r>
      <w:r w:rsidR="001523F4">
        <w:rPr>
          <w:szCs w:val="24"/>
        </w:rPr>
        <w:t>Since latitude was an important predictor for CPUE, SST</w:t>
      </w:r>
      <w:r w:rsidR="001B04AE">
        <w:rPr>
          <w:szCs w:val="24"/>
        </w:rPr>
        <w:t xml:space="preserve"> was not </w:t>
      </w:r>
      <w:r w:rsidR="001523F4">
        <w:rPr>
          <w:szCs w:val="24"/>
        </w:rPr>
        <w:t>as im</w:t>
      </w:r>
      <w:r w:rsidR="001B04AE">
        <w:rPr>
          <w:szCs w:val="24"/>
        </w:rPr>
        <w:t>portant in the final model as the more spatially-independent lunar illumination (</w:t>
      </w:r>
      <w:r w:rsidR="00C409E2">
        <w:rPr>
          <w:szCs w:val="24"/>
        </w:rPr>
        <w:t>ρ</w:t>
      </w:r>
      <w:r w:rsidR="00C409E2" w:rsidDel="00C409E2">
        <w:rPr>
          <w:szCs w:val="24"/>
        </w:rPr>
        <w:t xml:space="preserve"> </w:t>
      </w:r>
      <w:r w:rsidR="001B04AE">
        <w:rPr>
          <w:szCs w:val="24"/>
        </w:rPr>
        <w:t>=</w:t>
      </w:r>
      <w:r w:rsidR="00341E8B">
        <w:rPr>
          <w:szCs w:val="24"/>
        </w:rPr>
        <w:t xml:space="preserve"> </w:t>
      </w:r>
      <w:r w:rsidR="001B04AE">
        <w:rPr>
          <w:szCs w:val="24"/>
        </w:rPr>
        <w:t>0.05, 0.02,</w:t>
      </w:r>
      <w:r w:rsidR="001523F4">
        <w:rPr>
          <w:szCs w:val="24"/>
        </w:rPr>
        <w:t xml:space="preserve"> for latitude and longitude,</w:t>
      </w:r>
      <w:r w:rsidR="001B04AE">
        <w:rPr>
          <w:szCs w:val="24"/>
        </w:rPr>
        <w:t xml:space="preserve"> respectively)</w:t>
      </w:r>
      <w:r w:rsidR="001523F4">
        <w:rPr>
          <w:szCs w:val="24"/>
        </w:rPr>
        <w:t>.</w:t>
      </w:r>
      <w:r w:rsidR="001B04AE">
        <w:rPr>
          <w:szCs w:val="24"/>
        </w:rPr>
        <w:t xml:space="preserve"> </w:t>
      </w:r>
      <w:r w:rsidR="001523F4">
        <w:rPr>
          <w:szCs w:val="24"/>
        </w:rPr>
        <w:t>L</w:t>
      </w:r>
      <w:r w:rsidR="001B04AE">
        <w:rPr>
          <w:szCs w:val="24"/>
        </w:rPr>
        <w:t>unar illumination has been shown to be an important predictor for swordfish CPUE for several different gears (</w:t>
      </w:r>
      <w:r w:rsidR="00460E99">
        <w:rPr>
          <w:szCs w:val="24"/>
        </w:rPr>
        <w:t>Draganik and Cholyst</w:t>
      </w:r>
      <w:r w:rsidR="00F603C9">
        <w:rPr>
          <w:szCs w:val="24"/>
        </w:rPr>
        <w:t>,</w:t>
      </w:r>
      <w:r w:rsidR="00460E99">
        <w:rPr>
          <w:szCs w:val="24"/>
        </w:rPr>
        <w:t xml:space="preserve"> 1998;</w:t>
      </w:r>
      <w:r w:rsidR="00125ED7">
        <w:rPr>
          <w:szCs w:val="24"/>
        </w:rPr>
        <w:t xml:space="preserve"> Bigelow </w:t>
      </w:r>
      <w:r w:rsidR="00125ED7" w:rsidRPr="00125ED7">
        <w:rPr>
          <w:i/>
          <w:szCs w:val="24"/>
        </w:rPr>
        <w:t>et al</w:t>
      </w:r>
      <w:r w:rsidR="00125ED7">
        <w:rPr>
          <w:szCs w:val="24"/>
        </w:rPr>
        <w:t>., 1999</w:t>
      </w:r>
      <w:r w:rsidR="00460E99">
        <w:rPr>
          <w:szCs w:val="24"/>
        </w:rPr>
        <w:t>;</w:t>
      </w:r>
      <w:r w:rsidR="00125ED7">
        <w:rPr>
          <w:szCs w:val="24"/>
        </w:rPr>
        <w:t xml:space="preserve"> </w:t>
      </w:r>
      <w:r w:rsidR="00460E99">
        <w:rPr>
          <w:szCs w:val="24"/>
        </w:rPr>
        <w:t>Santos and Garcia, 2005</w:t>
      </w:r>
      <w:r w:rsidR="00460E99" w:rsidRPr="00460E99">
        <w:rPr>
          <w:szCs w:val="24"/>
        </w:rPr>
        <w:t>;</w:t>
      </w:r>
      <w:r w:rsidR="00125ED7" w:rsidRPr="00460E99">
        <w:rPr>
          <w:szCs w:val="24"/>
        </w:rPr>
        <w:t xml:space="preserve"> Akyol</w:t>
      </w:r>
      <w:r w:rsidR="00F603C9">
        <w:rPr>
          <w:szCs w:val="24"/>
        </w:rPr>
        <w:t>,</w:t>
      </w:r>
      <w:r w:rsidR="00125ED7" w:rsidRPr="00460E99">
        <w:rPr>
          <w:szCs w:val="24"/>
        </w:rPr>
        <w:t xml:space="preserve"> 2013</w:t>
      </w:r>
      <w:r w:rsidR="001B04AE">
        <w:rPr>
          <w:szCs w:val="24"/>
        </w:rPr>
        <w:t xml:space="preserve">). For the longline gear, it has been shown that there </w:t>
      </w:r>
      <w:r w:rsidR="00EF40E5">
        <w:rPr>
          <w:szCs w:val="24"/>
        </w:rPr>
        <w:t>were</w:t>
      </w:r>
      <w:r w:rsidR="001B04AE">
        <w:rPr>
          <w:szCs w:val="24"/>
        </w:rPr>
        <w:t xml:space="preserve"> increased catch rates around the full moon (lunar illumination = 1) and decreased catch rates around the new moon (lunar illumination = 0</w:t>
      </w:r>
      <w:r w:rsidR="005E426B">
        <w:rPr>
          <w:szCs w:val="24"/>
        </w:rPr>
        <w:t xml:space="preserve">, Bigelow </w:t>
      </w:r>
      <w:r w:rsidR="005E426B">
        <w:rPr>
          <w:i/>
          <w:szCs w:val="24"/>
        </w:rPr>
        <w:t>et al.</w:t>
      </w:r>
      <w:r w:rsidR="005E426B" w:rsidRPr="005E426B">
        <w:rPr>
          <w:szCs w:val="24"/>
        </w:rPr>
        <w:t>, 1999</w:t>
      </w:r>
      <w:r w:rsidR="001B04AE">
        <w:rPr>
          <w:szCs w:val="24"/>
        </w:rPr>
        <w:t>). There are several potential reasons for this relationship. First, swordfish are found deeper in the water column during nights with higher lunar illumination</w:t>
      </w:r>
      <w:r w:rsidR="001B19C5">
        <w:rPr>
          <w:szCs w:val="24"/>
        </w:rPr>
        <w:t xml:space="preserve"> rather than at the surface on darker nights</w:t>
      </w:r>
      <w:r w:rsidR="00C26888">
        <w:rPr>
          <w:szCs w:val="24"/>
        </w:rPr>
        <w:t xml:space="preserve">, possibly following the deep scattering layer </w:t>
      </w:r>
      <w:r w:rsidR="001B04AE">
        <w:rPr>
          <w:szCs w:val="24"/>
        </w:rPr>
        <w:t>(</w:t>
      </w:r>
      <w:r w:rsidR="001B19C5">
        <w:rPr>
          <w:szCs w:val="24"/>
        </w:rPr>
        <w:t xml:space="preserve">Dewar </w:t>
      </w:r>
      <w:r w:rsidR="001B19C5" w:rsidRPr="003509E5">
        <w:rPr>
          <w:i/>
          <w:szCs w:val="24"/>
        </w:rPr>
        <w:t>et al</w:t>
      </w:r>
      <w:r w:rsidR="003509E5">
        <w:rPr>
          <w:i/>
          <w:szCs w:val="24"/>
        </w:rPr>
        <w:t>.,</w:t>
      </w:r>
      <w:r w:rsidR="001B19C5">
        <w:rPr>
          <w:szCs w:val="24"/>
        </w:rPr>
        <w:t xml:space="preserve"> 2011). This may increase their </w:t>
      </w:r>
      <w:r w:rsidR="009562CB">
        <w:rPr>
          <w:szCs w:val="24"/>
        </w:rPr>
        <w:t xml:space="preserve">susceptibility </w:t>
      </w:r>
      <w:r w:rsidR="001B19C5">
        <w:rPr>
          <w:szCs w:val="24"/>
        </w:rPr>
        <w:t xml:space="preserve">to the gear which </w:t>
      </w:r>
      <w:r w:rsidR="0036763F">
        <w:rPr>
          <w:szCs w:val="24"/>
        </w:rPr>
        <w:t xml:space="preserve">was </w:t>
      </w:r>
      <w:r w:rsidR="001B19C5">
        <w:rPr>
          <w:szCs w:val="24"/>
        </w:rPr>
        <w:t xml:space="preserve">generally set to 50m or more (Bigelow </w:t>
      </w:r>
      <w:r w:rsidR="001B19C5" w:rsidRPr="005509C3">
        <w:rPr>
          <w:i/>
          <w:szCs w:val="24"/>
        </w:rPr>
        <w:t>et al</w:t>
      </w:r>
      <w:r w:rsidR="005509C3">
        <w:rPr>
          <w:szCs w:val="24"/>
        </w:rPr>
        <w:t>.,</w:t>
      </w:r>
      <w:r w:rsidR="001B19C5">
        <w:rPr>
          <w:szCs w:val="24"/>
        </w:rPr>
        <w:t xml:space="preserve"> 1999). </w:t>
      </w:r>
      <w:r w:rsidR="00C26888">
        <w:rPr>
          <w:szCs w:val="24"/>
        </w:rPr>
        <w:t xml:space="preserve">In conjunction with the fish being more </w:t>
      </w:r>
      <w:r w:rsidR="006C25B5">
        <w:rPr>
          <w:szCs w:val="24"/>
        </w:rPr>
        <w:t xml:space="preserve">susceptible </w:t>
      </w:r>
      <w:r w:rsidR="00C26888">
        <w:rPr>
          <w:szCs w:val="24"/>
        </w:rPr>
        <w:t>to the gear because they are deeper in the water column, it has been suggested that with higher lunar illumination swordfish are better able to see the bait and more likely to strike as they are visual predators (</w:t>
      </w:r>
      <w:r w:rsidR="00460E99">
        <w:rPr>
          <w:szCs w:val="24"/>
        </w:rPr>
        <w:t xml:space="preserve">Bigelow </w:t>
      </w:r>
      <w:r w:rsidR="00460E99" w:rsidRPr="00460E99">
        <w:rPr>
          <w:i/>
          <w:szCs w:val="24"/>
        </w:rPr>
        <w:t>et al.</w:t>
      </w:r>
      <w:r w:rsidR="00460E99">
        <w:rPr>
          <w:szCs w:val="24"/>
        </w:rPr>
        <w:t xml:space="preserve">, 1999; </w:t>
      </w:r>
      <w:r w:rsidR="00C26888">
        <w:rPr>
          <w:szCs w:val="24"/>
        </w:rPr>
        <w:t>Akyol</w:t>
      </w:r>
      <w:r w:rsidR="00F603C9">
        <w:rPr>
          <w:szCs w:val="24"/>
        </w:rPr>
        <w:t>,</w:t>
      </w:r>
      <w:r w:rsidR="00C26888">
        <w:rPr>
          <w:szCs w:val="24"/>
        </w:rPr>
        <w:t xml:space="preserve"> 2013). </w:t>
      </w:r>
      <w:r w:rsidR="00AC02CD">
        <w:rPr>
          <w:szCs w:val="24"/>
        </w:rPr>
        <w:t xml:space="preserve">Mixed layer depth was also an important environmental variable in the standardization models. Swordfish remain in the mixed layer depth at night, potentially to recover from thermal and/or oxygen debt (Abascal </w:t>
      </w:r>
      <w:r w:rsidR="00AC02CD" w:rsidRPr="00460E99">
        <w:rPr>
          <w:i/>
          <w:szCs w:val="24"/>
        </w:rPr>
        <w:t>et al</w:t>
      </w:r>
      <w:r w:rsidR="00460E99" w:rsidRPr="00460E99">
        <w:rPr>
          <w:i/>
          <w:szCs w:val="24"/>
        </w:rPr>
        <w:t>.</w:t>
      </w:r>
      <w:r w:rsidR="00460E99">
        <w:rPr>
          <w:szCs w:val="24"/>
        </w:rPr>
        <w:t>,</w:t>
      </w:r>
      <w:r w:rsidR="00AC02CD">
        <w:rPr>
          <w:szCs w:val="24"/>
        </w:rPr>
        <w:t xml:space="preserve"> 2015). </w:t>
      </w:r>
      <w:r w:rsidR="009E2294">
        <w:rPr>
          <w:szCs w:val="24"/>
        </w:rPr>
        <w:t xml:space="preserve">When the MLD </w:t>
      </w:r>
      <w:r w:rsidR="0036763F">
        <w:rPr>
          <w:szCs w:val="24"/>
        </w:rPr>
        <w:t xml:space="preserve">is </w:t>
      </w:r>
      <w:r w:rsidR="00AC02CD">
        <w:rPr>
          <w:szCs w:val="24"/>
        </w:rPr>
        <w:t>shallow</w:t>
      </w:r>
      <w:r w:rsidR="009E2294">
        <w:rPr>
          <w:szCs w:val="24"/>
        </w:rPr>
        <w:t>,</w:t>
      </w:r>
      <w:r w:rsidR="00AC02CD">
        <w:rPr>
          <w:szCs w:val="24"/>
        </w:rPr>
        <w:t xml:space="preserve"> swordfish </w:t>
      </w:r>
      <w:r w:rsidR="00DC64F4">
        <w:rPr>
          <w:szCs w:val="24"/>
        </w:rPr>
        <w:t>c</w:t>
      </w:r>
      <w:r w:rsidR="00AC02CD">
        <w:rPr>
          <w:szCs w:val="24"/>
        </w:rPr>
        <w:t xml:space="preserve">ould likely be more </w:t>
      </w:r>
      <w:r w:rsidR="00917D33">
        <w:rPr>
          <w:szCs w:val="24"/>
        </w:rPr>
        <w:t xml:space="preserve">susceptible </w:t>
      </w:r>
      <w:r w:rsidR="00AC02CD">
        <w:rPr>
          <w:szCs w:val="24"/>
        </w:rPr>
        <w:t>to the gear</w:t>
      </w:r>
      <w:r w:rsidR="009E2294">
        <w:rPr>
          <w:szCs w:val="24"/>
        </w:rPr>
        <w:t xml:space="preserve"> as their nighttime di</w:t>
      </w:r>
      <w:r w:rsidR="002516E4">
        <w:rPr>
          <w:szCs w:val="24"/>
        </w:rPr>
        <w:t>stribution would be</w:t>
      </w:r>
      <w:r w:rsidR="009E2294">
        <w:rPr>
          <w:szCs w:val="24"/>
        </w:rPr>
        <w:t xml:space="preserve"> compressed</w:t>
      </w:r>
      <w:r w:rsidR="00AC02CD">
        <w:rPr>
          <w:szCs w:val="24"/>
        </w:rPr>
        <w:t>.</w:t>
      </w:r>
    </w:p>
    <w:p w14:paraId="6018D6F4" w14:textId="530FE780" w:rsidR="001562DB" w:rsidRDefault="0090298F" w:rsidP="00E23C47">
      <w:pPr>
        <w:rPr>
          <w:szCs w:val="24"/>
        </w:rPr>
      </w:pPr>
      <w:r>
        <w:rPr>
          <w:szCs w:val="24"/>
        </w:rPr>
        <w:lastRenderedPageBreak/>
        <w:t xml:space="preserve">A concern with the </w:t>
      </w:r>
      <w:r w:rsidR="00F764D8">
        <w:rPr>
          <w:szCs w:val="24"/>
        </w:rPr>
        <w:t>deep-set</w:t>
      </w:r>
      <w:r>
        <w:rPr>
          <w:szCs w:val="24"/>
        </w:rPr>
        <w:t xml:space="preserve"> standardization </w:t>
      </w:r>
      <w:r w:rsidR="0036763F">
        <w:rPr>
          <w:szCs w:val="24"/>
        </w:rPr>
        <w:t xml:space="preserve">was </w:t>
      </w:r>
      <w:r>
        <w:rPr>
          <w:szCs w:val="24"/>
        </w:rPr>
        <w:t xml:space="preserve">the appearance of </w:t>
      </w:r>
      <w:r w:rsidR="00DC64F4">
        <w:rPr>
          <w:szCs w:val="24"/>
        </w:rPr>
        <w:t>more than one cloud</w:t>
      </w:r>
      <w:r>
        <w:rPr>
          <w:szCs w:val="24"/>
        </w:rPr>
        <w:t xml:space="preserve"> of data in the Pearson residuals plot (</w:t>
      </w:r>
      <w:r>
        <w:rPr>
          <w:szCs w:val="24"/>
        </w:rPr>
        <w:fldChar w:fldCharType="begin"/>
      </w:r>
      <w:r>
        <w:rPr>
          <w:szCs w:val="24"/>
        </w:rPr>
        <w:instrText xml:space="preserve"> REF _Ref500490559 \h </w:instrText>
      </w:r>
      <w:r>
        <w:rPr>
          <w:szCs w:val="24"/>
        </w:rPr>
      </w:r>
      <w:r>
        <w:rPr>
          <w:szCs w:val="24"/>
        </w:rPr>
        <w:fldChar w:fldCharType="separate"/>
      </w:r>
      <w:r w:rsidR="00E33BD3">
        <w:t xml:space="preserve">Figure </w:t>
      </w:r>
      <w:r w:rsidR="00E33BD3">
        <w:rPr>
          <w:noProof/>
        </w:rPr>
        <w:t>24</w:t>
      </w:r>
      <w:r>
        <w:rPr>
          <w:szCs w:val="24"/>
        </w:rPr>
        <w:fldChar w:fldCharType="end"/>
      </w:r>
      <w:r>
        <w:rPr>
          <w:szCs w:val="24"/>
        </w:rPr>
        <w:t xml:space="preserve">, upper </w:t>
      </w:r>
      <w:r w:rsidR="00927D0A">
        <w:rPr>
          <w:szCs w:val="24"/>
        </w:rPr>
        <w:t>left</w:t>
      </w:r>
      <w:r>
        <w:rPr>
          <w:szCs w:val="24"/>
        </w:rPr>
        <w:t>) for the lognormal positive CPUE model. Careful investigation of the residuals for this shows this cloud persists when compared with all the parameters inc</w:t>
      </w:r>
      <w:r w:rsidR="00492B45">
        <w:rPr>
          <w:szCs w:val="24"/>
        </w:rPr>
        <w:t>luded in the model (Figures A 8</w:t>
      </w:r>
      <w:r w:rsidR="00341E8B">
        <w:rPr>
          <w:szCs w:val="24"/>
        </w:rPr>
        <w:t>–</w:t>
      </w:r>
      <w:r w:rsidR="00492B45">
        <w:rPr>
          <w:szCs w:val="24"/>
        </w:rPr>
        <w:t>9</w:t>
      </w:r>
      <w:r w:rsidR="00FD20C6">
        <w:rPr>
          <w:szCs w:val="24"/>
        </w:rPr>
        <w:t xml:space="preserve"> in the Appendix</w:t>
      </w:r>
      <w:r>
        <w:rPr>
          <w:szCs w:val="24"/>
        </w:rPr>
        <w:t xml:space="preserve">). This cloud may be related to the targeting of different species by the vessels in the </w:t>
      </w:r>
      <w:r w:rsidR="00F764D8">
        <w:rPr>
          <w:szCs w:val="24"/>
        </w:rPr>
        <w:t>deep-set</w:t>
      </w:r>
      <w:r>
        <w:rPr>
          <w:szCs w:val="24"/>
        </w:rPr>
        <w:t xml:space="preserve"> fishery. However, running the model on a subset of the data with just the tuna targeting sets produces the same two clouds of residuals. This may still due to targeting, as the fishery targets albacore, yellowfin, and bigeye tuna but </w:t>
      </w:r>
      <w:r w:rsidR="00C409E2">
        <w:rPr>
          <w:szCs w:val="24"/>
        </w:rPr>
        <w:t xml:space="preserve">fishing vessels </w:t>
      </w:r>
      <w:r>
        <w:rPr>
          <w:szCs w:val="24"/>
        </w:rPr>
        <w:t xml:space="preserve">only declares if they are targeting tuna in general. Further, an investigation of bait codes shows that while the </w:t>
      </w:r>
      <w:r w:rsidR="00F764D8">
        <w:rPr>
          <w:szCs w:val="24"/>
        </w:rPr>
        <w:t>deep-set</w:t>
      </w:r>
      <w:r>
        <w:rPr>
          <w:szCs w:val="24"/>
        </w:rPr>
        <w:t xml:space="preserve"> fishery uses primarily sardines and </w:t>
      </w:r>
      <w:r w:rsidR="007236A7">
        <w:rPr>
          <w:szCs w:val="24"/>
        </w:rPr>
        <w:t>s</w:t>
      </w:r>
      <w:r w:rsidR="008043E3">
        <w:rPr>
          <w:szCs w:val="24"/>
        </w:rPr>
        <w:t>amna</w:t>
      </w:r>
      <w:r w:rsidR="007236A7">
        <w:rPr>
          <w:szCs w:val="24"/>
        </w:rPr>
        <w:t xml:space="preserve"> (saury)</w:t>
      </w:r>
      <w:r>
        <w:rPr>
          <w:szCs w:val="24"/>
        </w:rPr>
        <w:t xml:space="preserve"> as bait and the </w:t>
      </w:r>
      <w:r w:rsidR="000D0A0F">
        <w:rPr>
          <w:szCs w:val="24"/>
        </w:rPr>
        <w:t>shallow-set</w:t>
      </w:r>
      <w:r>
        <w:rPr>
          <w:szCs w:val="24"/>
        </w:rPr>
        <w:t xml:space="preserve"> fishery uses primarily </w:t>
      </w:r>
      <w:r w:rsidR="008043E3">
        <w:rPr>
          <w:szCs w:val="24"/>
        </w:rPr>
        <w:t>mackerel</w:t>
      </w:r>
      <w:r>
        <w:rPr>
          <w:szCs w:val="24"/>
        </w:rPr>
        <w:t xml:space="preserve"> and squid, many of the recorded bait types </w:t>
      </w:r>
      <w:r w:rsidR="00327A8E">
        <w:rPr>
          <w:szCs w:val="24"/>
        </w:rPr>
        <w:t>were</w:t>
      </w:r>
      <w:r>
        <w:rPr>
          <w:szCs w:val="24"/>
        </w:rPr>
        <w:t xml:space="preserve"> actually a combination of two</w:t>
      </w:r>
      <w:r w:rsidR="009B6585">
        <w:rPr>
          <w:szCs w:val="24"/>
        </w:rPr>
        <w:t xml:space="preserve"> or </w:t>
      </w:r>
      <w:r>
        <w:rPr>
          <w:szCs w:val="24"/>
        </w:rPr>
        <w:t xml:space="preserve">three of the baits used. </w:t>
      </w:r>
      <w:r w:rsidR="009E4577">
        <w:rPr>
          <w:szCs w:val="24"/>
        </w:rPr>
        <w:t>T</w:t>
      </w:r>
      <w:r>
        <w:rPr>
          <w:szCs w:val="24"/>
        </w:rPr>
        <w:t xml:space="preserve">here </w:t>
      </w:r>
      <w:r w:rsidR="00327A8E">
        <w:rPr>
          <w:szCs w:val="24"/>
        </w:rPr>
        <w:t>were</w:t>
      </w:r>
      <w:r>
        <w:rPr>
          <w:szCs w:val="24"/>
        </w:rPr>
        <w:t xml:space="preserve"> </w:t>
      </w:r>
      <w:r w:rsidR="00F603C9">
        <w:rPr>
          <w:szCs w:val="24"/>
        </w:rPr>
        <w:br/>
      </w:r>
      <w:r>
        <w:rPr>
          <w:szCs w:val="24"/>
        </w:rPr>
        <w:t>~</w:t>
      </w:r>
      <w:r w:rsidR="000E02CB">
        <w:rPr>
          <w:szCs w:val="24"/>
        </w:rPr>
        <w:t xml:space="preserve"> </w:t>
      </w:r>
      <w:r>
        <w:rPr>
          <w:szCs w:val="24"/>
        </w:rPr>
        <w:t xml:space="preserve">2000 </w:t>
      </w:r>
      <w:r w:rsidR="00F764D8">
        <w:rPr>
          <w:szCs w:val="24"/>
        </w:rPr>
        <w:t>deep</w:t>
      </w:r>
      <w:r w:rsidR="00F603C9">
        <w:rPr>
          <w:szCs w:val="24"/>
        </w:rPr>
        <w:t xml:space="preserve"> </w:t>
      </w:r>
      <w:r w:rsidR="00F764D8">
        <w:rPr>
          <w:szCs w:val="24"/>
        </w:rPr>
        <w:t>set</w:t>
      </w:r>
      <w:r>
        <w:rPr>
          <w:szCs w:val="24"/>
        </w:rPr>
        <w:t xml:space="preserve">s which use the same primary bait as the </w:t>
      </w:r>
      <w:r w:rsidR="000D0A0F">
        <w:rPr>
          <w:szCs w:val="24"/>
        </w:rPr>
        <w:t>shallow-set</w:t>
      </w:r>
      <w:r>
        <w:rPr>
          <w:szCs w:val="24"/>
        </w:rPr>
        <w:t xml:space="preserve"> fishery. When the </w:t>
      </w:r>
      <w:r w:rsidR="00F764D8">
        <w:rPr>
          <w:szCs w:val="24"/>
        </w:rPr>
        <w:t>deep-set</w:t>
      </w:r>
      <w:r>
        <w:rPr>
          <w:szCs w:val="24"/>
        </w:rPr>
        <w:t xml:space="preserve"> lognormal model was run on a single bait type, the clouds in the residuals persisted. Thus is it possible that part of the reason for the residual pattern </w:t>
      </w:r>
      <w:r w:rsidR="0036763F">
        <w:rPr>
          <w:szCs w:val="24"/>
        </w:rPr>
        <w:t xml:space="preserve">was </w:t>
      </w:r>
      <w:r>
        <w:rPr>
          <w:szCs w:val="24"/>
        </w:rPr>
        <w:t xml:space="preserve">targeting, however there </w:t>
      </w:r>
      <w:r w:rsidR="0036763F">
        <w:rPr>
          <w:szCs w:val="24"/>
        </w:rPr>
        <w:t xml:space="preserve">was </w:t>
      </w:r>
      <w:r>
        <w:rPr>
          <w:szCs w:val="24"/>
        </w:rPr>
        <w:t xml:space="preserve">not enough information in the </w:t>
      </w:r>
      <w:r w:rsidR="00345600">
        <w:rPr>
          <w:szCs w:val="24"/>
        </w:rPr>
        <w:t>data set</w:t>
      </w:r>
      <w:r>
        <w:rPr>
          <w:szCs w:val="24"/>
        </w:rPr>
        <w:t xml:space="preserve"> to </w:t>
      </w:r>
      <w:r w:rsidR="008043E3">
        <w:rPr>
          <w:szCs w:val="24"/>
        </w:rPr>
        <w:t>conclusively</w:t>
      </w:r>
      <w:r>
        <w:rPr>
          <w:szCs w:val="24"/>
        </w:rPr>
        <w:t xml:space="preserve"> identify</w:t>
      </w:r>
      <w:r w:rsidR="008043E3">
        <w:rPr>
          <w:szCs w:val="24"/>
        </w:rPr>
        <w:t xml:space="preserve"> the cause of the residual pattern.</w:t>
      </w:r>
    </w:p>
    <w:p w14:paraId="69AC8A57" w14:textId="77777777" w:rsidR="00F66A40" w:rsidRDefault="00EE5546" w:rsidP="00F66A40">
      <w:pPr>
        <w:rPr>
          <w:b/>
        </w:rPr>
      </w:pPr>
      <w:r>
        <w:t xml:space="preserve">These CPUE standardization results </w:t>
      </w:r>
      <w:r w:rsidR="00327A8E">
        <w:t>were</w:t>
      </w:r>
      <w:r>
        <w:t xml:space="preserve"> </w:t>
      </w:r>
      <w:r w:rsidR="00391985">
        <w:t>consistent</w:t>
      </w:r>
      <w:r>
        <w:t xml:space="preserve"> with previous standardizations of the Hawaii-based longline fishery.</w:t>
      </w:r>
      <w:r w:rsidR="00391985">
        <w:t xml:space="preserve"> The </w:t>
      </w:r>
      <w:r w:rsidR="00F25D04">
        <w:t xml:space="preserve">model diagnostics suggest good fits to the data for the </w:t>
      </w:r>
      <w:r w:rsidR="000D0A0F">
        <w:t>shallow-set</w:t>
      </w:r>
      <w:r w:rsidR="00F25D04">
        <w:t xml:space="preserve"> fishery, and some patterning in the positive catches for the </w:t>
      </w:r>
      <w:r w:rsidR="00F764D8">
        <w:t>deep-set</w:t>
      </w:r>
      <w:r w:rsidR="00F25D04">
        <w:t xml:space="preserve"> fishery. This patterning may be due to targeting decisions made the vessel. The </w:t>
      </w:r>
      <w:r w:rsidR="000D0A0F">
        <w:t>shallow-set</w:t>
      </w:r>
      <w:r w:rsidR="00F25D04">
        <w:t xml:space="preserve"> CPUE shows an increase in CPUE from the start of the time series to the closure in 2000. CPUE peaks after the closure in 2006, and gradually increases again from 2010 to the present. The </w:t>
      </w:r>
      <w:r w:rsidR="00F764D8">
        <w:t>deep-set</w:t>
      </w:r>
      <w:r w:rsidR="00F25D04">
        <w:t xml:space="preserve"> CPUE </w:t>
      </w:r>
      <w:r w:rsidR="0036763F">
        <w:t xml:space="preserve">was </w:t>
      </w:r>
      <w:r w:rsidR="00F25D04">
        <w:t xml:space="preserve">fairly low and flat, without </w:t>
      </w:r>
      <w:r w:rsidR="005C0C8C">
        <w:t xml:space="preserve">much </w:t>
      </w:r>
      <w:r w:rsidR="00F25D04">
        <w:t>contrast.</w:t>
      </w:r>
      <w:r>
        <w:t xml:space="preserve"> </w:t>
      </w:r>
    </w:p>
    <w:p w14:paraId="15863382" w14:textId="7ADF7586" w:rsidR="00FF10CD" w:rsidRDefault="00D92655" w:rsidP="00FF10CD">
      <w:pPr>
        <w:pStyle w:val="Heading1"/>
      </w:pPr>
      <w:r>
        <w:t>Literature Cited</w:t>
      </w:r>
    </w:p>
    <w:p w14:paraId="5872C762" w14:textId="77777777" w:rsidR="00125ED7" w:rsidRDefault="00125ED7" w:rsidP="002C1F76">
      <w:pPr>
        <w:pStyle w:val="Literature"/>
        <w:rPr>
          <w:rFonts w:eastAsia="Times New Roman"/>
          <w:szCs w:val="24"/>
        </w:rPr>
      </w:pPr>
      <w:r w:rsidRPr="00125ED7">
        <w:rPr>
          <w:rFonts w:eastAsia="Times New Roman"/>
          <w:szCs w:val="24"/>
        </w:rPr>
        <w:t>Abascal, F. J., J. Mejuto, M. Quintans, B. García-Cortés</w:t>
      </w:r>
      <w:r>
        <w:rPr>
          <w:rFonts w:eastAsia="Times New Roman"/>
          <w:szCs w:val="24"/>
        </w:rPr>
        <w:t xml:space="preserve"> and Ramos-Cartelle, A. 2015. </w:t>
      </w:r>
      <w:r w:rsidRPr="00125ED7">
        <w:rPr>
          <w:rFonts w:eastAsia="Times New Roman"/>
          <w:szCs w:val="24"/>
        </w:rPr>
        <w:t xml:space="preserve">Tracking of the broadbill swordfish, Xiphias gladius, in the central and eastern North Atlantic. Fisheries Research </w:t>
      </w:r>
      <w:r w:rsidRPr="00125ED7">
        <w:rPr>
          <w:rFonts w:eastAsia="Times New Roman"/>
          <w:bCs/>
          <w:szCs w:val="24"/>
        </w:rPr>
        <w:t>162</w:t>
      </w:r>
      <w:r w:rsidRPr="00125ED7">
        <w:rPr>
          <w:rFonts w:eastAsia="Times New Roman"/>
          <w:szCs w:val="24"/>
        </w:rPr>
        <w:t>(Supplement C): 20-28.</w:t>
      </w:r>
    </w:p>
    <w:p w14:paraId="4657ED8B" w14:textId="77777777" w:rsidR="002418A0" w:rsidRDefault="002418A0" w:rsidP="002C1F76">
      <w:pPr>
        <w:pStyle w:val="Literature"/>
        <w:rPr>
          <w:rFonts w:eastAsia="Times New Roman"/>
          <w:szCs w:val="24"/>
        </w:rPr>
      </w:pPr>
      <w:r>
        <w:rPr>
          <w:rFonts w:eastAsia="Times New Roman"/>
          <w:szCs w:val="24"/>
        </w:rPr>
        <w:t>Akyol, O. 2013. The Influence of the Moon Phase on the CPUEs of Swordfish Gillnet Fishery in the A</w:t>
      </w:r>
      <w:r w:rsidR="00D05FF0">
        <w:rPr>
          <w:rFonts w:eastAsia="Times New Roman"/>
          <w:szCs w:val="24"/>
        </w:rPr>
        <w:t>e</w:t>
      </w:r>
      <w:r>
        <w:rPr>
          <w:rFonts w:eastAsia="Times New Roman"/>
          <w:szCs w:val="24"/>
        </w:rPr>
        <w:t>gean Sea, Turkey. Turkish Journal of Fisheries and Aquatic Sciences 13: 355-358.</w:t>
      </w:r>
    </w:p>
    <w:p w14:paraId="3640B966" w14:textId="77777777" w:rsidR="00FC2CB3" w:rsidRDefault="00FC2CB3" w:rsidP="002C1F76">
      <w:pPr>
        <w:pStyle w:val="Literature"/>
        <w:rPr>
          <w:rFonts w:eastAsia="Times New Roman"/>
          <w:szCs w:val="24"/>
        </w:rPr>
      </w:pPr>
      <w:r w:rsidRPr="00FC2CB3">
        <w:rPr>
          <w:rFonts w:eastAsia="Times New Roman"/>
          <w:szCs w:val="24"/>
        </w:rPr>
        <w:t>Bigelow, K. A., C. H. Boggs and He</w:t>
      </w:r>
      <w:r w:rsidR="008D1281">
        <w:rPr>
          <w:rFonts w:eastAsia="Times New Roman"/>
          <w:szCs w:val="24"/>
        </w:rPr>
        <w:t>,</w:t>
      </w:r>
      <w:r w:rsidR="008D1281" w:rsidRPr="00FC2CB3">
        <w:rPr>
          <w:rFonts w:eastAsia="Times New Roman"/>
          <w:szCs w:val="24"/>
        </w:rPr>
        <w:t xml:space="preserve"> X. I.</w:t>
      </w:r>
      <w:r w:rsidRPr="00FC2CB3">
        <w:rPr>
          <w:rFonts w:eastAsia="Times New Roman"/>
          <w:szCs w:val="24"/>
        </w:rPr>
        <w:t xml:space="preserve"> 1999. Environmental effects on swordfish and blue shark catch rates in the US North Pacific longline fishery. Fisheries Oceanography 8(3): 178-198</w:t>
      </w:r>
      <w:r>
        <w:rPr>
          <w:rFonts w:eastAsia="Times New Roman"/>
          <w:szCs w:val="24"/>
        </w:rPr>
        <w:t>.</w:t>
      </w:r>
    </w:p>
    <w:p w14:paraId="6C1557F7" w14:textId="77777777" w:rsidR="00552830" w:rsidRPr="00B24845" w:rsidRDefault="00552830" w:rsidP="00B468DF">
      <w:pPr>
        <w:pStyle w:val="Literature"/>
      </w:pPr>
      <w:r w:rsidRPr="005E29EC">
        <w:t>Courtney, D.,</w:t>
      </w:r>
      <w:r>
        <w:t xml:space="preserve"> W. Walsh, </w:t>
      </w:r>
      <w:r w:rsidRPr="00E33BD3">
        <w:t xml:space="preserve">and </w:t>
      </w:r>
      <w:r w:rsidRPr="00127F44">
        <w:t>J. Brodziak</w:t>
      </w:r>
      <w:r w:rsidRPr="00E33BD3">
        <w:t>.</w:t>
      </w:r>
      <w:r>
        <w:t xml:space="preserve"> 2009. Generalized a</w:t>
      </w:r>
      <w:r w:rsidRPr="00454057">
        <w:t xml:space="preserve">dditive </w:t>
      </w:r>
      <w:r>
        <w:t>m</w:t>
      </w:r>
      <w:r w:rsidRPr="00454057">
        <w:t xml:space="preserve">odel </w:t>
      </w:r>
      <w:r>
        <w:t>a</w:t>
      </w:r>
      <w:r w:rsidRPr="00454057">
        <w:t xml:space="preserve">nalyses to </w:t>
      </w:r>
      <w:r>
        <w:t>s</w:t>
      </w:r>
      <w:r w:rsidRPr="00454057">
        <w:t xml:space="preserve">tandardize </w:t>
      </w:r>
      <w:r>
        <w:t>s</w:t>
      </w:r>
      <w:r w:rsidRPr="00454057">
        <w:t>wordfish (</w:t>
      </w:r>
      <w:r w:rsidRPr="00454057">
        <w:rPr>
          <w:i/>
        </w:rPr>
        <w:t>Xiphias gladius</w:t>
      </w:r>
      <w:r w:rsidRPr="00454057">
        <w:t xml:space="preserve">) </w:t>
      </w:r>
      <w:r>
        <w:t>c</w:t>
      </w:r>
      <w:r w:rsidRPr="00454057">
        <w:t xml:space="preserve">atch </w:t>
      </w:r>
      <w:r>
        <w:t>r</w:t>
      </w:r>
      <w:r w:rsidRPr="00454057">
        <w:t xml:space="preserve">ates in the Hawaii-based </w:t>
      </w:r>
      <w:r>
        <w:t>p</w:t>
      </w:r>
      <w:r w:rsidRPr="00454057">
        <w:t xml:space="preserve">elagic </w:t>
      </w:r>
      <w:r>
        <w:t>l</w:t>
      </w:r>
      <w:r w:rsidRPr="00454057">
        <w:t xml:space="preserve">ongline </w:t>
      </w:r>
      <w:r>
        <w:t>fishery, 1995-</w:t>
      </w:r>
      <w:r w:rsidRPr="00454057">
        <w:t xml:space="preserve">2007, for use in </w:t>
      </w:r>
      <w:r>
        <w:t>s</w:t>
      </w:r>
      <w:r w:rsidRPr="00454057">
        <w:t xml:space="preserve">tock </w:t>
      </w:r>
      <w:r>
        <w:t>a</w:t>
      </w:r>
      <w:r w:rsidRPr="00454057">
        <w:t>ssessment</w:t>
      </w:r>
      <w:r>
        <w:t xml:space="preserve">. </w:t>
      </w:r>
      <w:r w:rsidRPr="00B24845">
        <w:t>International Scientific Committee for Tuna and Tuna-Like Species in the North Pacific/Billfish WG,</w:t>
      </w:r>
      <w:r w:rsidRPr="00B24845">
        <w:rPr>
          <w:b/>
        </w:rPr>
        <w:t xml:space="preserve"> </w:t>
      </w:r>
      <w:r>
        <w:t>ISC/09/BILLWG-1</w:t>
      </w:r>
      <w:r w:rsidRPr="00B24845">
        <w:t xml:space="preserve">/04, </w:t>
      </w:r>
      <w:r>
        <w:t>33</w:t>
      </w:r>
      <w:r w:rsidRPr="00B24845">
        <w:t xml:space="preserve"> p.</w:t>
      </w:r>
    </w:p>
    <w:p w14:paraId="09DC9DBD" w14:textId="77777777" w:rsidR="00041DA9" w:rsidRDefault="00041DA9" w:rsidP="002C1F76">
      <w:pPr>
        <w:pStyle w:val="Literature"/>
      </w:pPr>
      <w:r w:rsidRPr="00041DA9">
        <w:t xml:space="preserve">Dewar, H., E. D. Prince, M. K. Musyl, R. W. Brill, C. Sepulveda, J. Luo, D. Foley, E. S. Orbesen, M. L. Domeier, N. Nasby-Lucas, D. Snodgrass, R. Michael Laurs, J. </w:t>
      </w:r>
      <w:r w:rsidRPr="00041DA9">
        <w:lastRenderedPageBreak/>
        <w:t>P. Hoolihan, B.</w:t>
      </w:r>
      <w:r>
        <w:t xml:space="preserve"> A. Block and McNaughton, L. M. 2011</w:t>
      </w:r>
      <w:r w:rsidRPr="00041DA9">
        <w:t xml:space="preserve">. Movements and behaviors of swordfish in the Atlantic and Pacific Oceans examined using </w:t>
      </w:r>
      <w:r>
        <w:t>pop-up satellite archival tags.</w:t>
      </w:r>
      <w:r w:rsidRPr="00041DA9">
        <w:t xml:space="preserve"> Fisheries Oceanography </w:t>
      </w:r>
      <w:r w:rsidRPr="00041DA9">
        <w:rPr>
          <w:bCs/>
        </w:rPr>
        <w:t>20</w:t>
      </w:r>
      <w:r w:rsidRPr="00041DA9">
        <w:t>(3): 219-241.</w:t>
      </w:r>
    </w:p>
    <w:p w14:paraId="6F9C0AA3" w14:textId="77777777" w:rsidR="00373858" w:rsidRDefault="00373858" w:rsidP="002C1F76">
      <w:pPr>
        <w:pStyle w:val="Literature"/>
      </w:pPr>
      <w:r>
        <w:t>Draganik, B. and Cholyst, J. 1988. Temperature and moonlight as stimulators for feeding activity by swordfish. Col.Vol.Sci.Pap. ICCAT, 27:305-314.</w:t>
      </w:r>
      <w:r w:rsidRPr="00373858">
        <w:t xml:space="preserve"> </w:t>
      </w:r>
    </w:p>
    <w:p w14:paraId="50510B25" w14:textId="3A11F66E" w:rsidR="00FC2CB3" w:rsidRDefault="00FC2CB3" w:rsidP="00FC2CB3">
      <w:pPr>
        <w:pStyle w:val="Literature"/>
      </w:pPr>
      <w:r w:rsidRPr="00FC2CB3">
        <w:t>Gilman, E., D. Kobayashi, T. Swenarton, N. Brothers, P. Dalz</w:t>
      </w:r>
      <w:r w:rsidR="008D1281">
        <w:t xml:space="preserve">ell and </w:t>
      </w:r>
      <w:r w:rsidRPr="00FC2CB3">
        <w:t>Kinan-Kelly</w:t>
      </w:r>
      <w:r w:rsidR="008D1281">
        <w:t>, I.</w:t>
      </w:r>
      <w:r w:rsidRPr="00FC2CB3">
        <w:t xml:space="preserve"> 2007. Reducing sea turtle interactions in the Hawaii-based longline swordfish fishery. Biological Conservation 139(1–2): 19-28. </w:t>
      </w:r>
    </w:p>
    <w:p w14:paraId="5E27B60C" w14:textId="35CBBBD1" w:rsidR="00B308FF" w:rsidRPr="00B308FF" w:rsidRDefault="00B308FF" w:rsidP="00B308FF">
      <w:pPr>
        <w:pStyle w:val="Literature"/>
      </w:pPr>
      <w:r w:rsidRPr="00B308FF">
        <w:t>Goodman, L. A.1960. On the exact variance of products. Journal of the American Statistical Association. 55(292): 708- 713.</w:t>
      </w:r>
    </w:p>
    <w:p w14:paraId="50257510" w14:textId="77777777" w:rsidR="00A438FD" w:rsidRPr="00A438FD" w:rsidRDefault="00A438FD" w:rsidP="00A438FD">
      <w:pPr>
        <w:pStyle w:val="Literature"/>
      </w:pPr>
      <w:r w:rsidRPr="00A438FD">
        <w:t>IATTC SAC. 2011. Status of Swordfish in the Eastern Pacific Ocean in 2010 and Outlook for the Future. Inter-American Tropical Tuna Commission Scientific Advisory Committee. Document SAC-02-09. 9-12 May 2011. La Jolla, California, USA.</w:t>
      </w:r>
    </w:p>
    <w:p w14:paraId="4808D2DC" w14:textId="77777777" w:rsidR="00A438FD" w:rsidRPr="00A438FD" w:rsidRDefault="00A438FD" w:rsidP="00A438FD">
      <w:pPr>
        <w:pStyle w:val="Literature"/>
      </w:pPr>
      <w:r w:rsidRPr="00A438FD">
        <w:t>ISC BILLWG. 2009. Report of the billfish working group workshop (Annex 7). International Scientific Committee for Tuna and Tuna-like Species in the North Pacific Ocean 19-26 May 2009. Busan, Korea.</w:t>
      </w:r>
    </w:p>
    <w:p w14:paraId="158E18EB" w14:textId="77777777" w:rsidR="00A438FD" w:rsidRPr="00A438FD" w:rsidRDefault="00A438FD" w:rsidP="00A438FD">
      <w:pPr>
        <w:pStyle w:val="Literature"/>
      </w:pPr>
      <w:r w:rsidRPr="00A438FD">
        <w:t>ISC BILLWG. 2014. North Pacific Swordfish (</w:t>
      </w:r>
      <w:r w:rsidRPr="00A438FD">
        <w:rPr>
          <w:i/>
        </w:rPr>
        <w:t>Xiphiaus gladius</w:t>
      </w:r>
      <w:r w:rsidRPr="00A438FD">
        <w:t>) Stock Assessment in 2014. International Scientific Committee for Tuna and Tuna-like Species in the North Pacific Ocean 16-22 July 2014. Taipei, Chinese-Taipei.</w:t>
      </w:r>
    </w:p>
    <w:p w14:paraId="075E9E6E" w14:textId="5D9E0E2B" w:rsidR="00C608E8" w:rsidRDefault="00C608E8" w:rsidP="00FC2CB3">
      <w:pPr>
        <w:pStyle w:val="Literature"/>
      </w:pPr>
      <w:r>
        <w:t>Ito, R.Y. and Childers, J. 2014. US Swordfish Fisheries in the North Pacific Ocean. ISC/14/SWO-WG/06.</w:t>
      </w:r>
    </w:p>
    <w:p w14:paraId="02CD6E59" w14:textId="2CF03023" w:rsidR="006220B9" w:rsidRDefault="006220B9" w:rsidP="006220B9">
      <w:pPr>
        <w:pStyle w:val="Literature"/>
      </w:pPr>
      <w:r>
        <w:t>Ito, R.Y. and Childers, J. 2018. US Swordfish Fisheries in the North Pacific Ocean.</w:t>
      </w:r>
    </w:p>
    <w:p w14:paraId="1AF67531" w14:textId="69B554C9" w:rsidR="007860D4" w:rsidRDefault="007860D4" w:rsidP="002C1F76">
      <w:pPr>
        <w:pStyle w:val="Literature"/>
      </w:pPr>
      <w:r w:rsidRPr="007860D4">
        <w:t>Lauretta,</w:t>
      </w:r>
      <w:r>
        <w:t xml:space="preserve"> M. V.,</w:t>
      </w:r>
      <w:r w:rsidRPr="007860D4">
        <w:t xml:space="preserve"> </w:t>
      </w:r>
      <w:r>
        <w:t>Walter, J.F.</w:t>
      </w:r>
      <w:r w:rsidRPr="007860D4">
        <w:t>, and Christman</w:t>
      </w:r>
      <w:r>
        <w:t xml:space="preserve">, M.C. 2016. </w:t>
      </w:r>
      <w:r w:rsidRPr="007860D4">
        <w:t xml:space="preserve">Some considerations for </w:t>
      </w:r>
      <w:r>
        <w:t>CPUE</w:t>
      </w:r>
      <w:r w:rsidRPr="007860D4">
        <w:t xml:space="preserve"> standardization; variance estimation and distributional considerations</w:t>
      </w:r>
      <w:r>
        <w:t xml:space="preserve">. </w:t>
      </w:r>
      <w:r w:rsidRPr="007860D4">
        <w:t>Collect. Vol. Sci. Pap. ICCAT, 72(9): 2304-2312</w:t>
      </w:r>
      <w:r>
        <w:t>.</w:t>
      </w:r>
    </w:p>
    <w:p w14:paraId="53F09822" w14:textId="7121062A" w:rsidR="00B819FF" w:rsidRDefault="00B819FF" w:rsidP="002C1F76">
      <w:pPr>
        <w:pStyle w:val="Literature"/>
      </w:pPr>
      <w:r>
        <w:t>Lenth, R., Love, J. and Herve, M. 2017. Estimated Marginal Means, aka Least-Squares Means. R Package.</w:t>
      </w:r>
      <w:r w:rsidR="0097522F">
        <w:t xml:space="preserve"> Version 1.0</w:t>
      </w:r>
      <w:r>
        <w:t xml:space="preserve"> </w:t>
      </w:r>
      <w:hyperlink r:id="rId11" w:history="1">
        <w:r w:rsidRPr="00B819FF">
          <w:rPr>
            <w:rStyle w:val="Hyperlink"/>
          </w:rPr>
          <w:t>https://github.com/rvlenth/emmeans</w:t>
        </w:r>
      </w:hyperlink>
    </w:p>
    <w:p w14:paraId="500936B4" w14:textId="77777777" w:rsidR="00335E18" w:rsidRDefault="00335E18" w:rsidP="002C1F76">
      <w:pPr>
        <w:pStyle w:val="Literature"/>
      </w:pPr>
      <w:r w:rsidRPr="00335E18">
        <w:t>Maunder, M. N. and Punt</w:t>
      </w:r>
      <w:r>
        <w:t xml:space="preserve">, </w:t>
      </w:r>
      <w:r w:rsidRPr="00335E18">
        <w:t xml:space="preserve">A. E. </w:t>
      </w:r>
      <w:r>
        <w:t>2004</w:t>
      </w:r>
      <w:r w:rsidRPr="00335E18">
        <w:t>. Standardizing catch and effort data:</w:t>
      </w:r>
      <w:r>
        <w:t xml:space="preserve"> a review of recent approaches.</w:t>
      </w:r>
      <w:r w:rsidRPr="00335E18">
        <w:t xml:space="preserve"> Fisheries Research </w:t>
      </w:r>
      <w:r w:rsidRPr="00335E18">
        <w:rPr>
          <w:bCs/>
        </w:rPr>
        <w:t>70</w:t>
      </w:r>
      <w:r w:rsidRPr="00335E18">
        <w:t>(2): 141-159</w:t>
      </w:r>
    </w:p>
    <w:p w14:paraId="0C8475E1" w14:textId="77777777" w:rsidR="00FC2CB3" w:rsidRDefault="00FC2CB3" w:rsidP="002C1F76">
      <w:pPr>
        <w:pStyle w:val="Literature"/>
      </w:pPr>
      <w:r w:rsidRPr="00FC2CB3">
        <w:t>NMFS. 2017. Hawaii longline fishery logbook statistics -non-confidential summary tables. Available online at </w:t>
      </w:r>
      <w:hyperlink r:id="rId12" w:tgtFrame="_blank" w:tooltip="Link to external resource: http://www.pifsc.noaa.gov/fmb/reports.php" w:history="1">
        <w:r w:rsidRPr="00FC2CB3">
          <w:rPr>
            <w:rStyle w:val="Hyperlink"/>
          </w:rPr>
          <w:t>http://www.pifsc.noaa.gov/fmb/reports.php</w:t>
        </w:r>
      </w:hyperlink>
      <w:r w:rsidRPr="00FC2CB3">
        <w:t>, accessed 8 May 2017. National Marine Fisheries Service, Pacific Islands Fisheries Science Center, Honolulu.</w:t>
      </w:r>
    </w:p>
    <w:p w14:paraId="50AAEE16" w14:textId="77777777" w:rsidR="00AA72CC" w:rsidRDefault="00AA72CC" w:rsidP="00284635">
      <w:pPr>
        <w:pStyle w:val="Literature"/>
      </w:pPr>
      <w:r w:rsidRPr="00AA72CC">
        <w:t xml:space="preserve">NOAA NCDC 2017. Spatially and temporally large-scale anomalies that influence the variability of the atmospheric circulation. Online Database </w:t>
      </w:r>
      <w:hyperlink r:id="rId13" w:history="1">
        <w:r w:rsidRPr="00AA72CC">
          <w:rPr>
            <w:rStyle w:val="Hyperlink"/>
          </w:rPr>
          <w:t>https://www.ncdc.noaa.gov/teleconnections/</w:t>
        </w:r>
      </w:hyperlink>
      <w:r w:rsidRPr="00AA72CC">
        <w:t xml:space="preserve"> Accessed </w:t>
      </w:r>
      <w:r>
        <w:t>10 October</w:t>
      </w:r>
      <w:r w:rsidRPr="00AA72CC">
        <w:t xml:space="preserve"> 2017.</w:t>
      </w:r>
    </w:p>
    <w:p w14:paraId="44FB739C" w14:textId="4606B423" w:rsidR="006220B9" w:rsidRDefault="006220B9" w:rsidP="00284635">
      <w:pPr>
        <w:pStyle w:val="Literature"/>
      </w:pPr>
      <w:r>
        <w:t xml:space="preserve">Pacific Islands Fisheries Science Center (PIFSC) OceanWatch. (2017) Central Pacific Node. </w:t>
      </w:r>
      <w:hyperlink r:id="rId14" w:history="1">
        <w:r w:rsidRPr="00163C7A">
          <w:rPr>
            <w:rStyle w:val="Hyperlink"/>
          </w:rPr>
          <w:t>http://pifsc-oceanwatch.irc.noaa.gov/</w:t>
        </w:r>
      </w:hyperlink>
      <w:r>
        <w:t xml:space="preserve"> Accessed: 11 October 2017.</w:t>
      </w:r>
    </w:p>
    <w:p w14:paraId="487CA86B" w14:textId="7F56EE28" w:rsidR="00284635" w:rsidRDefault="00284635" w:rsidP="00284635">
      <w:pPr>
        <w:pStyle w:val="Literature"/>
      </w:pPr>
      <w:r w:rsidRPr="00284635">
        <w:lastRenderedPageBreak/>
        <w:t>Pacific Islands Region Office (PIRO). 2017. Hawaii Longline Observer Program Observer Field Manual. Version LM.17.02. National Oceanic and Atmospheric Administration, Pacific Islands Region, Honolulu, Hawai‛i.</w:t>
      </w:r>
    </w:p>
    <w:p w14:paraId="7155F652" w14:textId="3B2C73B5" w:rsidR="00F03DD8" w:rsidRPr="00284635" w:rsidRDefault="00272E9F" w:rsidP="00F03DD8">
      <w:pPr>
        <w:pStyle w:val="Literature"/>
      </w:pPr>
      <w:r w:rsidRPr="00272E9F">
        <w:rPr>
          <w:rFonts w:eastAsia="Times New Roman"/>
          <w:szCs w:val="24"/>
        </w:rPr>
        <w:t>R Core Team 201</w:t>
      </w:r>
      <w:r w:rsidR="00127F44">
        <w:rPr>
          <w:rFonts w:eastAsia="Times New Roman"/>
          <w:szCs w:val="24"/>
        </w:rPr>
        <w:t>7</w:t>
      </w:r>
      <w:r w:rsidRPr="00272E9F">
        <w:rPr>
          <w:rFonts w:eastAsia="Times New Roman"/>
          <w:szCs w:val="24"/>
        </w:rPr>
        <w:t xml:space="preserve"> R: A language and environment for statistical computing. R Foundation for </w:t>
      </w:r>
      <w:r w:rsidR="00F03DD8" w:rsidRPr="00F03DD8">
        <w:t xml:space="preserve">Statistical Computing, Vienna, Austria. URL </w:t>
      </w:r>
      <w:hyperlink r:id="rId15" w:history="1">
        <w:r w:rsidR="00F03DD8" w:rsidRPr="00F03DD8">
          <w:rPr>
            <w:rStyle w:val="Hyperlink"/>
          </w:rPr>
          <w:t>https://www.R-project.org/</w:t>
        </w:r>
      </w:hyperlink>
      <w:r w:rsidR="00F03DD8" w:rsidRPr="00F03DD8">
        <w:t>.</w:t>
      </w:r>
    </w:p>
    <w:p w14:paraId="09D7A5BF" w14:textId="77777777" w:rsidR="00373858" w:rsidRDefault="00373858" w:rsidP="002C1F76">
      <w:pPr>
        <w:pStyle w:val="Literature"/>
      </w:pPr>
      <w:r>
        <w:t>Santos, M.N. and Garcia, A. 2005. The influence of the moon phase on the CPUEs for the Portuguese swordfish (Xiphias gladius L., 1758) fishery. Col.Vol.Sci.Pap. ICCAT, 58(4):1466-1469.</w:t>
      </w:r>
    </w:p>
    <w:p w14:paraId="27727075" w14:textId="3912F4E3" w:rsidR="00552830" w:rsidRDefault="00F14EBB" w:rsidP="00AC2676">
      <w:pPr>
        <w:pStyle w:val="Literature"/>
      </w:pPr>
      <w:r>
        <w:t xml:space="preserve">U.S. Naval Observatory. 2017. Fraction of the Moon Illuminated at Midnight Hawaii-Aleutian Standard Time. </w:t>
      </w:r>
      <w:hyperlink r:id="rId16" w:history="1">
        <w:r w:rsidRPr="009E5FBD">
          <w:rPr>
            <w:rStyle w:val="Hyperlink"/>
            <w:szCs w:val="24"/>
          </w:rPr>
          <w:t>http://aa.usno.navy.mil/data/docs/MoonFraction.php</w:t>
        </w:r>
      </w:hyperlink>
      <w:r>
        <w:rPr>
          <w:rStyle w:val="Hyperlink"/>
          <w:szCs w:val="24"/>
        </w:rPr>
        <w:t xml:space="preserve"> </w:t>
      </w:r>
      <w:r w:rsidRPr="00F14EBB">
        <w:t>Accessed 10 October 2017.</w:t>
      </w:r>
    </w:p>
    <w:p w14:paraId="6C50F75E" w14:textId="77777777" w:rsidR="00552830" w:rsidRPr="00B24845" w:rsidRDefault="00552830" w:rsidP="00AC2676">
      <w:pPr>
        <w:pStyle w:val="Literature"/>
      </w:pPr>
      <w:r w:rsidRPr="00B24845">
        <w:t xml:space="preserve">Walsh, W., and </w:t>
      </w:r>
      <w:r w:rsidRPr="00AC2676">
        <w:t>J. Brodziak. 2014</w:t>
      </w:r>
      <w:r w:rsidRPr="00B24845">
        <w:t xml:space="preserve">. Catch rate standardization for swordfish </w:t>
      </w:r>
      <w:r w:rsidRPr="00B24845">
        <w:rPr>
          <w:i/>
        </w:rPr>
        <w:t>Xiphias gladius</w:t>
      </w:r>
      <w:r w:rsidRPr="00B24845">
        <w:t xml:space="preserve"> in the shallow-set sector of the Hawaii longline fishery, 1995−2012. International Scientific Committee for Tuna and Tuna-Like Species in the North Pacific/Billfish WG, ISC/14/BILLWG-1/5, 27 p.</w:t>
      </w:r>
    </w:p>
    <w:p w14:paraId="792EBA32" w14:textId="77777777" w:rsidR="00552830" w:rsidRDefault="00552830" w:rsidP="00F14EBB">
      <w:pPr>
        <w:pStyle w:val="Literature"/>
        <w:rPr>
          <w:rStyle w:val="Hyperlink"/>
          <w:szCs w:val="24"/>
        </w:rPr>
        <w:sectPr w:rsidR="00552830" w:rsidSect="00A95B9F">
          <w:pgSz w:w="12240" w:h="15840"/>
          <w:pgMar w:top="1440" w:right="1440" w:bottom="1440" w:left="1440" w:header="720" w:footer="720" w:gutter="0"/>
          <w:cols w:space="720"/>
          <w:docGrid w:linePitch="360"/>
        </w:sectPr>
      </w:pPr>
    </w:p>
    <w:p w14:paraId="10AA037B" w14:textId="77777777" w:rsidR="00C035DD" w:rsidRDefault="00C035DD" w:rsidP="00D92655">
      <w:pPr>
        <w:pStyle w:val="Heading1"/>
        <w:rPr>
          <w:rStyle w:val="IntenseEmphasis"/>
          <w:b/>
          <w:bCs w:val="0"/>
          <w:i w:val="0"/>
          <w:iCs w:val="0"/>
          <w:color w:val="auto"/>
        </w:rPr>
      </w:pPr>
      <w:r>
        <w:rPr>
          <w:rStyle w:val="IntenseEmphasis"/>
          <w:b/>
          <w:bCs w:val="0"/>
          <w:i w:val="0"/>
          <w:iCs w:val="0"/>
          <w:color w:val="auto"/>
        </w:rPr>
        <w:lastRenderedPageBreak/>
        <w:t>Tables</w:t>
      </w:r>
    </w:p>
    <w:p w14:paraId="65544E23" w14:textId="335FC697" w:rsidR="00281477" w:rsidRDefault="00281477">
      <w:pPr>
        <w:pStyle w:val="Caption"/>
      </w:pPr>
      <w:bookmarkStart w:id="2" w:name="_Ref500488848"/>
      <w:r>
        <w:t xml:space="preserve">Table </w:t>
      </w:r>
      <w:r w:rsidR="00A92D0A">
        <w:fldChar w:fldCharType="begin"/>
      </w:r>
      <w:r w:rsidR="00A92D0A">
        <w:instrText xml:space="preserve"> SEQ Table \* ARABIC </w:instrText>
      </w:r>
      <w:r w:rsidR="00A92D0A">
        <w:fldChar w:fldCharType="separate"/>
      </w:r>
      <w:r w:rsidR="00E33BD3">
        <w:rPr>
          <w:noProof/>
        </w:rPr>
        <w:t>1</w:t>
      </w:r>
      <w:r w:rsidR="00A92D0A">
        <w:rPr>
          <w:noProof/>
        </w:rPr>
        <w:fldChar w:fldCharType="end"/>
      </w:r>
      <w:bookmarkEnd w:id="2"/>
      <w:r>
        <w:t xml:space="preserve">. Percent Deviance Explained by the Final Models for each Distribution for each Standardization of Hawaii-based longline fishery CPUE from the Pacific Islands Regional Observer Program </w:t>
      </w:r>
      <w:r w:rsidR="00345600">
        <w:rPr>
          <w:noProof/>
        </w:rPr>
        <w:t>data set</w:t>
      </w:r>
      <w:r>
        <w:rPr>
          <w:noProof/>
        </w:rPr>
        <w:t>.</w:t>
      </w:r>
    </w:p>
    <w:tbl>
      <w:tblPr>
        <w:tblW w:w="0" w:type="auto"/>
        <w:jc w:val="center"/>
        <w:tblLook w:val="04A0" w:firstRow="1" w:lastRow="0" w:firstColumn="1" w:lastColumn="0" w:noHBand="0" w:noVBand="1"/>
        <w:tblDescription w:val="Percent Deviance Explained by the Final Models for each Distribution for each Standardization of Hawaii-based longline fishery CPUE from the Pacific Islands Regional Observer Program data set."/>
      </w:tblPr>
      <w:tblGrid>
        <w:gridCol w:w="2700"/>
        <w:gridCol w:w="2250"/>
        <w:gridCol w:w="1257"/>
      </w:tblGrid>
      <w:tr w:rsidR="009F713D" w:rsidRPr="00D86C97" w14:paraId="0EA4E75D" w14:textId="77777777" w:rsidTr="00127F44">
        <w:trPr>
          <w:trHeight w:val="300"/>
          <w:jc w:val="center"/>
        </w:trPr>
        <w:tc>
          <w:tcPr>
            <w:tcW w:w="2700" w:type="dxa"/>
            <w:tcBorders>
              <w:top w:val="nil"/>
              <w:left w:val="nil"/>
              <w:bottom w:val="single" w:sz="4" w:space="0" w:color="auto"/>
              <w:right w:val="nil"/>
            </w:tcBorders>
            <w:shd w:val="clear" w:color="auto" w:fill="auto"/>
            <w:noWrap/>
            <w:vAlign w:val="bottom"/>
          </w:tcPr>
          <w:p w14:paraId="6E46875A" w14:textId="77777777" w:rsidR="009F713D" w:rsidRPr="00127F44" w:rsidRDefault="009F713D" w:rsidP="00127F44">
            <w:pPr>
              <w:pStyle w:val="NoSpacing"/>
              <w:jc w:val="center"/>
              <w:rPr>
                <w:b/>
              </w:rPr>
            </w:pPr>
            <w:r w:rsidRPr="00127F44">
              <w:rPr>
                <w:b/>
              </w:rPr>
              <w:t>Time Period</w:t>
            </w:r>
          </w:p>
        </w:tc>
        <w:tc>
          <w:tcPr>
            <w:tcW w:w="2250" w:type="dxa"/>
            <w:tcBorders>
              <w:top w:val="nil"/>
              <w:left w:val="nil"/>
              <w:bottom w:val="single" w:sz="4" w:space="0" w:color="auto"/>
              <w:right w:val="single" w:sz="4" w:space="0" w:color="auto"/>
            </w:tcBorders>
            <w:shd w:val="clear" w:color="auto" w:fill="auto"/>
            <w:vAlign w:val="bottom"/>
          </w:tcPr>
          <w:p w14:paraId="22C38474" w14:textId="0F7EA1D0" w:rsidR="009F713D" w:rsidRPr="00127F44" w:rsidRDefault="009F713D" w:rsidP="00127F44">
            <w:pPr>
              <w:pStyle w:val="NoSpacing"/>
              <w:jc w:val="center"/>
              <w:rPr>
                <w:b/>
              </w:rPr>
            </w:pPr>
            <w:r w:rsidRPr="00127F44">
              <w:rPr>
                <w:b/>
              </w:rPr>
              <w:t>Model</w:t>
            </w:r>
          </w:p>
        </w:tc>
        <w:tc>
          <w:tcPr>
            <w:tcW w:w="1190" w:type="dxa"/>
            <w:tcBorders>
              <w:top w:val="nil"/>
              <w:left w:val="single" w:sz="4" w:space="0" w:color="auto"/>
              <w:bottom w:val="single" w:sz="4" w:space="0" w:color="auto"/>
              <w:right w:val="nil"/>
            </w:tcBorders>
            <w:shd w:val="clear" w:color="auto" w:fill="auto"/>
            <w:vAlign w:val="bottom"/>
          </w:tcPr>
          <w:p w14:paraId="41BD1A40" w14:textId="204C87BB" w:rsidR="009F713D" w:rsidRPr="00127F44" w:rsidRDefault="000E02CB" w:rsidP="00127F44">
            <w:pPr>
              <w:pStyle w:val="NoSpacing"/>
              <w:jc w:val="center"/>
              <w:rPr>
                <w:b/>
              </w:rPr>
            </w:pPr>
            <w:r w:rsidRPr="00127F44">
              <w:rPr>
                <w:b/>
              </w:rPr>
              <w:t xml:space="preserve">% </w:t>
            </w:r>
            <w:r w:rsidR="009F713D" w:rsidRPr="00127F44">
              <w:rPr>
                <w:b/>
              </w:rPr>
              <w:t>Deviance Explained</w:t>
            </w:r>
          </w:p>
        </w:tc>
      </w:tr>
      <w:tr w:rsidR="009F713D" w:rsidRPr="00D86C97" w14:paraId="7C7FE994" w14:textId="77777777" w:rsidTr="00127F44">
        <w:trPr>
          <w:trHeight w:val="300"/>
          <w:jc w:val="center"/>
        </w:trPr>
        <w:tc>
          <w:tcPr>
            <w:tcW w:w="2700" w:type="dxa"/>
            <w:tcBorders>
              <w:top w:val="single" w:sz="4" w:space="0" w:color="auto"/>
              <w:left w:val="nil"/>
              <w:bottom w:val="nil"/>
              <w:right w:val="nil"/>
            </w:tcBorders>
            <w:shd w:val="clear" w:color="auto" w:fill="auto"/>
            <w:noWrap/>
            <w:vAlign w:val="center"/>
            <w:hideMark/>
          </w:tcPr>
          <w:p w14:paraId="674C93A7" w14:textId="77777777" w:rsidR="009F713D" w:rsidRPr="00D86C97" w:rsidRDefault="009F713D" w:rsidP="00281477">
            <w:pPr>
              <w:pStyle w:val="NoSpacing"/>
            </w:pPr>
            <w:r w:rsidRPr="00D86C97">
              <w:t>Early</w:t>
            </w:r>
            <w:r>
              <w:t xml:space="preserve"> Shallow</w:t>
            </w:r>
          </w:p>
        </w:tc>
        <w:tc>
          <w:tcPr>
            <w:tcW w:w="2250" w:type="dxa"/>
            <w:tcBorders>
              <w:top w:val="single" w:sz="4" w:space="0" w:color="auto"/>
              <w:left w:val="nil"/>
              <w:bottom w:val="nil"/>
              <w:right w:val="single" w:sz="4" w:space="0" w:color="auto"/>
            </w:tcBorders>
            <w:shd w:val="clear" w:color="auto" w:fill="auto"/>
            <w:noWrap/>
            <w:vAlign w:val="center"/>
            <w:hideMark/>
          </w:tcPr>
          <w:p w14:paraId="7FC968B2" w14:textId="439B3AB8" w:rsidR="009F713D" w:rsidRPr="00D86C97" w:rsidRDefault="009F713D" w:rsidP="00281477">
            <w:pPr>
              <w:pStyle w:val="NoSpacing"/>
            </w:pPr>
            <w:r w:rsidRPr="00D86C97">
              <w:t>Negative binomial</w:t>
            </w:r>
          </w:p>
        </w:tc>
        <w:tc>
          <w:tcPr>
            <w:tcW w:w="1190" w:type="dxa"/>
            <w:tcBorders>
              <w:top w:val="single" w:sz="4" w:space="0" w:color="auto"/>
              <w:left w:val="single" w:sz="4" w:space="0" w:color="auto"/>
              <w:bottom w:val="nil"/>
              <w:right w:val="nil"/>
            </w:tcBorders>
            <w:shd w:val="clear" w:color="auto" w:fill="auto"/>
            <w:noWrap/>
            <w:vAlign w:val="center"/>
            <w:hideMark/>
          </w:tcPr>
          <w:p w14:paraId="6CC27E9B" w14:textId="7C524E8B" w:rsidR="009F713D" w:rsidRPr="00D86C97" w:rsidRDefault="009F713D" w:rsidP="00127F44">
            <w:pPr>
              <w:pStyle w:val="NoSpacing"/>
              <w:tabs>
                <w:tab w:val="decimal" w:pos="468"/>
              </w:tabs>
            </w:pPr>
            <w:r w:rsidRPr="00D86C97">
              <w:t>1.29</w:t>
            </w:r>
          </w:p>
        </w:tc>
      </w:tr>
      <w:tr w:rsidR="009F713D" w:rsidRPr="00D86C97" w14:paraId="643AB9D3" w14:textId="77777777" w:rsidTr="00127F44">
        <w:trPr>
          <w:trHeight w:val="300"/>
          <w:jc w:val="center"/>
        </w:trPr>
        <w:tc>
          <w:tcPr>
            <w:tcW w:w="2700" w:type="dxa"/>
            <w:tcBorders>
              <w:top w:val="nil"/>
              <w:left w:val="nil"/>
              <w:bottom w:val="nil"/>
              <w:right w:val="nil"/>
            </w:tcBorders>
            <w:shd w:val="clear" w:color="auto" w:fill="auto"/>
            <w:noWrap/>
            <w:vAlign w:val="center"/>
            <w:hideMark/>
          </w:tcPr>
          <w:p w14:paraId="5230DAE9" w14:textId="77777777" w:rsidR="009F713D" w:rsidRPr="00D86C97" w:rsidRDefault="009F713D" w:rsidP="00281477">
            <w:pPr>
              <w:pStyle w:val="NoSpacing"/>
            </w:pPr>
            <w:r w:rsidRPr="00D86C97">
              <w:t>Early</w:t>
            </w:r>
            <w:r>
              <w:t xml:space="preserve"> Shallow</w:t>
            </w:r>
          </w:p>
        </w:tc>
        <w:tc>
          <w:tcPr>
            <w:tcW w:w="2250" w:type="dxa"/>
            <w:tcBorders>
              <w:top w:val="nil"/>
              <w:left w:val="nil"/>
              <w:bottom w:val="nil"/>
              <w:right w:val="single" w:sz="4" w:space="0" w:color="auto"/>
            </w:tcBorders>
            <w:shd w:val="clear" w:color="auto" w:fill="auto"/>
            <w:noWrap/>
            <w:vAlign w:val="center"/>
            <w:hideMark/>
          </w:tcPr>
          <w:p w14:paraId="374AF822" w14:textId="6CA51BD9" w:rsidR="009F713D" w:rsidRPr="00D86C97" w:rsidRDefault="009F713D" w:rsidP="00281477">
            <w:pPr>
              <w:pStyle w:val="NoSpacing"/>
            </w:pPr>
            <w:r w:rsidRPr="00D86C97">
              <w:t>Poisson</w:t>
            </w:r>
          </w:p>
        </w:tc>
        <w:tc>
          <w:tcPr>
            <w:tcW w:w="1190" w:type="dxa"/>
            <w:tcBorders>
              <w:top w:val="nil"/>
              <w:left w:val="single" w:sz="4" w:space="0" w:color="auto"/>
              <w:bottom w:val="nil"/>
              <w:right w:val="nil"/>
            </w:tcBorders>
            <w:shd w:val="clear" w:color="auto" w:fill="auto"/>
            <w:noWrap/>
            <w:vAlign w:val="center"/>
            <w:hideMark/>
          </w:tcPr>
          <w:p w14:paraId="521E01DF" w14:textId="7C9C1378" w:rsidR="009F713D" w:rsidRPr="00D86C97" w:rsidRDefault="009F713D" w:rsidP="00127F44">
            <w:pPr>
              <w:pStyle w:val="NoSpacing"/>
              <w:tabs>
                <w:tab w:val="decimal" w:pos="468"/>
              </w:tabs>
            </w:pPr>
            <w:r w:rsidRPr="00D86C97">
              <w:t>1.99</w:t>
            </w:r>
          </w:p>
        </w:tc>
      </w:tr>
      <w:tr w:rsidR="009F713D" w:rsidRPr="00D86C97" w14:paraId="6AF0919C" w14:textId="77777777" w:rsidTr="00127F44">
        <w:trPr>
          <w:trHeight w:val="300"/>
          <w:jc w:val="center"/>
        </w:trPr>
        <w:tc>
          <w:tcPr>
            <w:tcW w:w="2700" w:type="dxa"/>
            <w:vMerge w:val="restart"/>
            <w:tcBorders>
              <w:top w:val="nil"/>
              <w:left w:val="nil"/>
              <w:right w:val="nil"/>
            </w:tcBorders>
            <w:shd w:val="clear" w:color="auto" w:fill="auto"/>
            <w:noWrap/>
            <w:vAlign w:val="center"/>
            <w:hideMark/>
          </w:tcPr>
          <w:p w14:paraId="127F85E4" w14:textId="4E8F397A" w:rsidR="009F713D" w:rsidRPr="00D86C97" w:rsidRDefault="009F713D" w:rsidP="009F713D">
            <w:pPr>
              <w:pStyle w:val="NoSpacing"/>
              <w:ind w:left="705" w:hanging="705"/>
            </w:pPr>
            <w:r w:rsidRPr="00D86C97">
              <w:t>Early</w:t>
            </w:r>
            <w:r>
              <w:t xml:space="preserve"> Shallow (Delta-lognormal model)</w:t>
            </w:r>
          </w:p>
        </w:tc>
        <w:tc>
          <w:tcPr>
            <w:tcW w:w="2250" w:type="dxa"/>
            <w:tcBorders>
              <w:top w:val="nil"/>
              <w:left w:val="nil"/>
              <w:bottom w:val="nil"/>
              <w:right w:val="single" w:sz="4" w:space="0" w:color="auto"/>
            </w:tcBorders>
            <w:shd w:val="clear" w:color="auto" w:fill="auto"/>
            <w:noWrap/>
            <w:vAlign w:val="center"/>
            <w:hideMark/>
          </w:tcPr>
          <w:p w14:paraId="4140281C" w14:textId="1858BC95" w:rsidR="009F713D" w:rsidRPr="00D86C97" w:rsidRDefault="009F713D" w:rsidP="00281477">
            <w:pPr>
              <w:pStyle w:val="NoSpacing"/>
            </w:pPr>
            <w:r w:rsidRPr="00D86C97">
              <w:t>Binomial</w:t>
            </w:r>
          </w:p>
        </w:tc>
        <w:tc>
          <w:tcPr>
            <w:tcW w:w="1190" w:type="dxa"/>
            <w:tcBorders>
              <w:top w:val="nil"/>
              <w:left w:val="single" w:sz="4" w:space="0" w:color="auto"/>
              <w:bottom w:val="nil"/>
              <w:right w:val="nil"/>
            </w:tcBorders>
            <w:shd w:val="clear" w:color="auto" w:fill="auto"/>
            <w:noWrap/>
            <w:vAlign w:val="center"/>
            <w:hideMark/>
          </w:tcPr>
          <w:p w14:paraId="554FA16C" w14:textId="0AA3CEDE" w:rsidR="009F713D" w:rsidRPr="00D86C97" w:rsidRDefault="009F713D" w:rsidP="00127F44">
            <w:pPr>
              <w:pStyle w:val="NoSpacing"/>
              <w:tabs>
                <w:tab w:val="decimal" w:pos="468"/>
              </w:tabs>
            </w:pPr>
            <w:r w:rsidRPr="00D86C97">
              <w:t>65</w:t>
            </w:r>
          </w:p>
        </w:tc>
      </w:tr>
      <w:tr w:rsidR="009F713D" w:rsidRPr="00D86C97" w14:paraId="39A37A9B" w14:textId="77777777" w:rsidTr="00127F44">
        <w:trPr>
          <w:trHeight w:val="300"/>
          <w:jc w:val="center"/>
        </w:trPr>
        <w:tc>
          <w:tcPr>
            <w:tcW w:w="2700" w:type="dxa"/>
            <w:vMerge/>
            <w:tcBorders>
              <w:left w:val="nil"/>
              <w:bottom w:val="nil"/>
              <w:right w:val="nil"/>
            </w:tcBorders>
            <w:shd w:val="clear" w:color="auto" w:fill="auto"/>
            <w:noWrap/>
            <w:vAlign w:val="center"/>
            <w:hideMark/>
          </w:tcPr>
          <w:p w14:paraId="4068AD96" w14:textId="1DE06C37" w:rsidR="009F713D" w:rsidRPr="00D86C97" w:rsidRDefault="009F713D" w:rsidP="009F713D">
            <w:pPr>
              <w:pStyle w:val="NoSpacing"/>
              <w:jc w:val="right"/>
            </w:pPr>
          </w:p>
        </w:tc>
        <w:tc>
          <w:tcPr>
            <w:tcW w:w="2250" w:type="dxa"/>
            <w:tcBorders>
              <w:top w:val="nil"/>
              <w:left w:val="nil"/>
              <w:bottom w:val="nil"/>
              <w:right w:val="single" w:sz="4" w:space="0" w:color="auto"/>
            </w:tcBorders>
            <w:shd w:val="clear" w:color="auto" w:fill="auto"/>
            <w:noWrap/>
            <w:vAlign w:val="center"/>
            <w:hideMark/>
          </w:tcPr>
          <w:p w14:paraId="0AD81EF3" w14:textId="0F760670" w:rsidR="009F713D" w:rsidRPr="00D86C97" w:rsidRDefault="009F713D" w:rsidP="00B468DF">
            <w:pPr>
              <w:pStyle w:val="NoSpacing"/>
            </w:pPr>
            <w:r w:rsidRPr="00D86C97">
              <w:t>Lognormal</w:t>
            </w:r>
          </w:p>
        </w:tc>
        <w:tc>
          <w:tcPr>
            <w:tcW w:w="1190" w:type="dxa"/>
            <w:tcBorders>
              <w:top w:val="nil"/>
              <w:left w:val="single" w:sz="4" w:space="0" w:color="auto"/>
              <w:bottom w:val="nil"/>
              <w:right w:val="nil"/>
            </w:tcBorders>
            <w:shd w:val="clear" w:color="auto" w:fill="auto"/>
            <w:noWrap/>
            <w:vAlign w:val="center"/>
            <w:hideMark/>
          </w:tcPr>
          <w:p w14:paraId="20280062" w14:textId="4943E042" w:rsidR="009F713D" w:rsidRPr="00D86C97" w:rsidRDefault="009F713D" w:rsidP="00127F44">
            <w:pPr>
              <w:pStyle w:val="NoSpacing"/>
              <w:tabs>
                <w:tab w:val="decimal" w:pos="468"/>
              </w:tabs>
            </w:pPr>
            <w:r w:rsidRPr="00D86C97">
              <w:t>40.80</w:t>
            </w:r>
          </w:p>
        </w:tc>
      </w:tr>
      <w:tr w:rsidR="009F713D" w:rsidRPr="00D86C97" w14:paraId="4544F809" w14:textId="77777777" w:rsidTr="00127F44">
        <w:trPr>
          <w:trHeight w:val="300"/>
          <w:jc w:val="center"/>
        </w:trPr>
        <w:tc>
          <w:tcPr>
            <w:tcW w:w="2700" w:type="dxa"/>
            <w:tcBorders>
              <w:top w:val="nil"/>
              <w:left w:val="nil"/>
              <w:bottom w:val="nil"/>
              <w:right w:val="nil"/>
            </w:tcBorders>
            <w:shd w:val="clear" w:color="auto" w:fill="auto"/>
            <w:noWrap/>
            <w:vAlign w:val="center"/>
            <w:hideMark/>
          </w:tcPr>
          <w:p w14:paraId="2A0F04A9" w14:textId="77777777" w:rsidR="009F713D" w:rsidRPr="00D86C97" w:rsidRDefault="009F713D" w:rsidP="00281477">
            <w:pPr>
              <w:pStyle w:val="NoSpacing"/>
            </w:pPr>
            <w:r w:rsidRPr="00D86C97">
              <w:t>Late</w:t>
            </w:r>
            <w:r>
              <w:t xml:space="preserve"> Shallow</w:t>
            </w:r>
          </w:p>
        </w:tc>
        <w:tc>
          <w:tcPr>
            <w:tcW w:w="2250" w:type="dxa"/>
            <w:tcBorders>
              <w:top w:val="nil"/>
              <w:left w:val="nil"/>
              <w:bottom w:val="nil"/>
              <w:right w:val="single" w:sz="4" w:space="0" w:color="auto"/>
            </w:tcBorders>
            <w:shd w:val="clear" w:color="auto" w:fill="auto"/>
            <w:noWrap/>
            <w:vAlign w:val="center"/>
            <w:hideMark/>
          </w:tcPr>
          <w:p w14:paraId="1D328BF5" w14:textId="188E594C" w:rsidR="009F713D" w:rsidRPr="00D86C97" w:rsidRDefault="009F713D" w:rsidP="00281477">
            <w:pPr>
              <w:pStyle w:val="NoSpacing"/>
            </w:pPr>
            <w:r w:rsidRPr="00D86C97">
              <w:t>Negative binomial</w:t>
            </w:r>
          </w:p>
        </w:tc>
        <w:tc>
          <w:tcPr>
            <w:tcW w:w="1190" w:type="dxa"/>
            <w:tcBorders>
              <w:top w:val="nil"/>
              <w:left w:val="single" w:sz="4" w:space="0" w:color="auto"/>
              <w:bottom w:val="nil"/>
              <w:right w:val="nil"/>
            </w:tcBorders>
            <w:shd w:val="clear" w:color="auto" w:fill="auto"/>
            <w:noWrap/>
            <w:vAlign w:val="center"/>
            <w:hideMark/>
          </w:tcPr>
          <w:p w14:paraId="372FF133" w14:textId="4BFF1400" w:rsidR="009F713D" w:rsidRPr="00D86C97" w:rsidRDefault="009F713D" w:rsidP="00127F44">
            <w:pPr>
              <w:pStyle w:val="NoSpacing"/>
              <w:tabs>
                <w:tab w:val="decimal" w:pos="468"/>
              </w:tabs>
            </w:pPr>
            <w:r w:rsidRPr="00D86C97">
              <w:t>1.56</w:t>
            </w:r>
          </w:p>
        </w:tc>
      </w:tr>
      <w:tr w:rsidR="009F713D" w:rsidRPr="00D86C97" w14:paraId="31EC723E" w14:textId="77777777" w:rsidTr="00127F44">
        <w:trPr>
          <w:trHeight w:val="300"/>
          <w:jc w:val="center"/>
        </w:trPr>
        <w:tc>
          <w:tcPr>
            <w:tcW w:w="2700" w:type="dxa"/>
            <w:tcBorders>
              <w:top w:val="nil"/>
              <w:left w:val="nil"/>
              <w:bottom w:val="nil"/>
              <w:right w:val="nil"/>
            </w:tcBorders>
            <w:shd w:val="clear" w:color="auto" w:fill="auto"/>
            <w:noWrap/>
            <w:vAlign w:val="center"/>
            <w:hideMark/>
          </w:tcPr>
          <w:p w14:paraId="01EC4831" w14:textId="77777777" w:rsidR="009F713D" w:rsidRPr="00D86C97" w:rsidRDefault="009F713D" w:rsidP="00281477">
            <w:pPr>
              <w:pStyle w:val="NoSpacing"/>
            </w:pPr>
            <w:r w:rsidRPr="00D86C97">
              <w:t>Late</w:t>
            </w:r>
            <w:r>
              <w:t xml:space="preserve"> Shallow</w:t>
            </w:r>
          </w:p>
        </w:tc>
        <w:tc>
          <w:tcPr>
            <w:tcW w:w="2250" w:type="dxa"/>
            <w:tcBorders>
              <w:top w:val="nil"/>
              <w:left w:val="nil"/>
              <w:bottom w:val="nil"/>
              <w:right w:val="single" w:sz="4" w:space="0" w:color="auto"/>
            </w:tcBorders>
            <w:shd w:val="clear" w:color="auto" w:fill="auto"/>
            <w:noWrap/>
            <w:vAlign w:val="center"/>
            <w:hideMark/>
          </w:tcPr>
          <w:p w14:paraId="609A27E3" w14:textId="50E3896D" w:rsidR="009F713D" w:rsidRPr="00D86C97" w:rsidRDefault="009F713D" w:rsidP="00281477">
            <w:pPr>
              <w:pStyle w:val="NoSpacing"/>
            </w:pPr>
            <w:r w:rsidRPr="00D86C97">
              <w:t>Poisson</w:t>
            </w:r>
          </w:p>
        </w:tc>
        <w:tc>
          <w:tcPr>
            <w:tcW w:w="1190" w:type="dxa"/>
            <w:tcBorders>
              <w:top w:val="nil"/>
              <w:left w:val="single" w:sz="4" w:space="0" w:color="auto"/>
              <w:bottom w:val="nil"/>
              <w:right w:val="nil"/>
            </w:tcBorders>
            <w:shd w:val="clear" w:color="auto" w:fill="auto"/>
            <w:noWrap/>
            <w:vAlign w:val="center"/>
            <w:hideMark/>
          </w:tcPr>
          <w:p w14:paraId="14F91021" w14:textId="13AF1D8B" w:rsidR="009F713D" w:rsidRPr="00D86C97" w:rsidRDefault="009F713D" w:rsidP="00127F44">
            <w:pPr>
              <w:pStyle w:val="NoSpacing"/>
              <w:tabs>
                <w:tab w:val="decimal" w:pos="468"/>
              </w:tabs>
            </w:pPr>
            <w:r w:rsidRPr="00D86C97">
              <w:t>2.44</w:t>
            </w:r>
          </w:p>
        </w:tc>
      </w:tr>
      <w:tr w:rsidR="009F713D" w:rsidRPr="00D86C97" w14:paraId="7AFEE8FB" w14:textId="77777777" w:rsidTr="00127F44">
        <w:trPr>
          <w:trHeight w:val="300"/>
          <w:jc w:val="center"/>
        </w:trPr>
        <w:tc>
          <w:tcPr>
            <w:tcW w:w="2700" w:type="dxa"/>
            <w:tcBorders>
              <w:top w:val="nil"/>
              <w:left w:val="nil"/>
              <w:bottom w:val="nil"/>
              <w:right w:val="nil"/>
            </w:tcBorders>
            <w:shd w:val="clear" w:color="auto" w:fill="auto"/>
            <w:noWrap/>
            <w:vAlign w:val="center"/>
            <w:hideMark/>
          </w:tcPr>
          <w:p w14:paraId="56E78D76" w14:textId="77777777" w:rsidR="009F713D" w:rsidRPr="00D86C97" w:rsidRDefault="009F713D" w:rsidP="00281477">
            <w:pPr>
              <w:pStyle w:val="NoSpacing"/>
            </w:pPr>
            <w:r w:rsidRPr="00D86C97">
              <w:t>Late</w:t>
            </w:r>
            <w:r>
              <w:t xml:space="preserve"> Shallow</w:t>
            </w:r>
          </w:p>
        </w:tc>
        <w:tc>
          <w:tcPr>
            <w:tcW w:w="2250" w:type="dxa"/>
            <w:tcBorders>
              <w:top w:val="nil"/>
              <w:left w:val="nil"/>
              <w:bottom w:val="nil"/>
              <w:right w:val="single" w:sz="4" w:space="0" w:color="auto"/>
            </w:tcBorders>
            <w:shd w:val="clear" w:color="auto" w:fill="auto"/>
            <w:noWrap/>
            <w:vAlign w:val="center"/>
            <w:hideMark/>
          </w:tcPr>
          <w:p w14:paraId="0C2AD903" w14:textId="7F0763A8" w:rsidR="009F713D" w:rsidRPr="00D86C97" w:rsidRDefault="009F713D" w:rsidP="00281477">
            <w:pPr>
              <w:pStyle w:val="NoSpacing"/>
            </w:pPr>
            <w:r w:rsidRPr="00D86C97">
              <w:t>Lognormal</w:t>
            </w:r>
          </w:p>
        </w:tc>
        <w:tc>
          <w:tcPr>
            <w:tcW w:w="1190" w:type="dxa"/>
            <w:tcBorders>
              <w:top w:val="nil"/>
              <w:left w:val="single" w:sz="4" w:space="0" w:color="auto"/>
              <w:bottom w:val="nil"/>
              <w:right w:val="nil"/>
            </w:tcBorders>
            <w:shd w:val="clear" w:color="auto" w:fill="auto"/>
            <w:noWrap/>
            <w:vAlign w:val="center"/>
            <w:hideMark/>
          </w:tcPr>
          <w:p w14:paraId="62D40634" w14:textId="400D134C" w:rsidR="009F713D" w:rsidRPr="00D86C97" w:rsidRDefault="009F713D" w:rsidP="00127F44">
            <w:pPr>
              <w:pStyle w:val="NoSpacing"/>
              <w:tabs>
                <w:tab w:val="decimal" w:pos="468"/>
              </w:tabs>
            </w:pPr>
            <w:r w:rsidRPr="00D86C97">
              <w:t>26.56</w:t>
            </w:r>
          </w:p>
        </w:tc>
      </w:tr>
      <w:tr w:rsidR="009F713D" w:rsidRPr="00D86C97" w14:paraId="6CE7DCD9" w14:textId="77777777" w:rsidTr="00127F44">
        <w:trPr>
          <w:trHeight w:val="300"/>
          <w:jc w:val="center"/>
        </w:trPr>
        <w:tc>
          <w:tcPr>
            <w:tcW w:w="2700" w:type="dxa"/>
            <w:tcBorders>
              <w:top w:val="nil"/>
              <w:left w:val="nil"/>
              <w:bottom w:val="nil"/>
              <w:right w:val="nil"/>
            </w:tcBorders>
            <w:shd w:val="clear" w:color="auto" w:fill="auto"/>
            <w:noWrap/>
            <w:vAlign w:val="center"/>
            <w:hideMark/>
          </w:tcPr>
          <w:p w14:paraId="203CDB33" w14:textId="77777777" w:rsidR="009F713D" w:rsidRPr="00D86C97" w:rsidRDefault="009F713D" w:rsidP="00281477">
            <w:pPr>
              <w:pStyle w:val="NoSpacing"/>
            </w:pPr>
            <w:r w:rsidRPr="00D86C97">
              <w:t>Deep</w:t>
            </w:r>
          </w:p>
        </w:tc>
        <w:tc>
          <w:tcPr>
            <w:tcW w:w="2250" w:type="dxa"/>
            <w:tcBorders>
              <w:top w:val="nil"/>
              <w:left w:val="nil"/>
              <w:bottom w:val="nil"/>
              <w:right w:val="single" w:sz="4" w:space="0" w:color="auto"/>
            </w:tcBorders>
            <w:shd w:val="clear" w:color="auto" w:fill="auto"/>
            <w:noWrap/>
            <w:vAlign w:val="center"/>
            <w:hideMark/>
          </w:tcPr>
          <w:p w14:paraId="59B1EA4C" w14:textId="32C7A97A" w:rsidR="009F713D" w:rsidRPr="00D86C97" w:rsidRDefault="009F713D" w:rsidP="00281477">
            <w:pPr>
              <w:pStyle w:val="NoSpacing"/>
            </w:pPr>
            <w:r w:rsidRPr="00D86C97">
              <w:t>Negative binomial</w:t>
            </w:r>
          </w:p>
        </w:tc>
        <w:tc>
          <w:tcPr>
            <w:tcW w:w="1190" w:type="dxa"/>
            <w:tcBorders>
              <w:top w:val="nil"/>
              <w:left w:val="single" w:sz="4" w:space="0" w:color="auto"/>
              <w:bottom w:val="nil"/>
              <w:right w:val="nil"/>
            </w:tcBorders>
            <w:shd w:val="clear" w:color="auto" w:fill="auto"/>
            <w:noWrap/>
            <w:vAlign w:val="center"/>
            <w:hideMark/>
          </w:tcPr>
          <w:p w14:paraId="19765D59" w14:textId="50AA0E1E" w:rsidR="009F713D" w:rsidRPr="00D86C97" w:rsidRDefault="009F713D" w:rsidP="00127F44">
            <w:pPr>
              <w:pStyle w:val="NoSpacing"/>
              <w:tabs>
                <w:tab w:val="decimal" w:pos="468"/>
              </w:tabs>
            </w:pPr>
            <w:r w:rsidRPr="00D86C97">
              <w:t>2.79</w:t>
            </w:r>
          </w:p>
        </w:tc>
      </w:tr>
      <w:tr w:rsidR="009F713D" w:rsidRPr="00D86C97" w14:paraId="70F96E23" w14:textId="77777777" w:rsidTr="00127F44">
        <w:trPr>
          <w:trHeight w:val="300"/>
          <w:jc w:val="center"/>
        </w:trPr>
        <w:tc>
          <w:tcPr>
            <w:tcW w:w="2700" w:type="dxa"/>
            <w:tcBorders>
              <w:top w:val="nil"/>
              <w:left w:val="nil"/>
              <w:bottom w:val="nil"/>
              <w:right w:val="nil"/>
            </w:tcBorders>
            <w:shd w:val="clear" w:color="auto" w:fill="auto"/>
            <w:noWrap/>
            <w:vAlign w:val="center"/>
            <w:hideMark/>
          </w:tcPr>
          <w:p w14:paraId="16104F8B" w14:textId="77777777" w:rsidR="009F713D" w:rsidRPr="00D86C97" w:rsidRDefault="009F713D" w:rsidP="00281477">
            <w:pPr>
              <w:pStyle w:val="NoSpacing"/>
            </w:pPr>
            <w:r w:rsidRPr="00D86C97">
              <w:t>Deep</w:t>
            </w:r>
          </w:p>
        </w:tc>
        <w:tc>
          <w:tcPr>
            <w:tcW w:w="2250" w:type="dxa"/>
            <w:tcBorders>
              <w:top w:val="nil"/>
              <w:left w:val="nil"/>
              <w:bottom w:val="nil"/>
              <w:right w:val="single" w:sz="4" w:space="0" w:color="auto"/>
            </w:tcBorders>
            <w:shd w:val="clear" w:color="auto" w:fill="auto"/>
            <w:noWrap/>
            <w:vAlign w:val="center"/>
            <w:hideMark/>
          </w:tcPr>
          <w:p w14:paraId="0AC851C1" w14:textId="6E7EC987" w:rsidR="009F713D" w:rsidRPr="00D86C97" w:rsidRDefault="009F713D" w:rsidP="00281477">
            <w:pPr>
              <w:pStyle w:val="NoSpacing"/>
            </w:pPr>
            <w:r w:rsidRPr="00D86C97">
              <w:t>Poisson</w:t>
            </w:r>
          </w:p>
        </w:tc>
        <w:tc>
          <w:tcPr>
            <w:tcW w:w="1190" w:type="dxa"/>
            <w:tcBorders>
              <w:top w:val="nil"/>
              <w:left w:val="single" w:sz="4" w:space="0" w:color="auto"/>
              <w:bottom w:val="nil"/>
              <w:right w:val="nil"/>
            </w:tcBorders>
            <w:shd w:val="clear" w:color="auto" w:fill="auto"/>
            <w:noWrap/>
            <w:vAlign w:val="center"/>
            <w:hideMark/>
          </w:tcPr>
          <w:p w14:paraId="41F50CD0" w14:textId="26EC87FD" w:rsidR="009F713D" w:rsidRPr="00D86C97" w:rsidRDefault="009F713D" w:rsidP="00127F44">
            <w:pPr>
              <w:pStyle w:val="NoSpacing"/>
              <w:tabs>
                <w:tab w:val="decimal" w:pos="468"/>
              </w:tabs>
            </w:pPr>
            <w:r w:rsidRPr="00D86C97">
              <w:t>4.10</w:t>
            </w:r>
          </w:p>
        </w:tc>
      </w:tr>
      <w:tr w:rsidR="009F713D" w:rsidRPr="00D86C97" w14:paraId="688F87D5" w14:textId="77777777" w:rsidTr="00127F44">
        <w:trPr>
          <w:trHeight w:val="300"/>
          <w:jc w:val="center"/>
        </w:trPr>
        <w:tc>
          <w:tcPr>
            <w:tcW w:w="2700" w:type="dxa"/>
            <w:vMerge w:val="restart"/>
            <w:tcBorders>
              <w:top w:val="nil"/>
              <w:left w:val="nil"/>
              <w:right w:val="nil"/>
            </w:tcBorders>
            <w:shd w:val="clear" w:color="auto" w:fill="auto"/>
            <w:noWrap/>
            <w:vAlign w:val="center"/>
            <w:hideMark/>
          </w:tcPr>
          <w:p w14:paraId="06AD3375" w14:textId="0B62773E" w:rsidR="009F713D" w:rsidRPr="00D86C97" w:rsidRDefault="009F713D" w:rsidP="009F713D">
            <w:pPr>
              <w:pStyle w:val="NoSpacing"/>
              <w:ind w:left="615" w:hanging="615"/>
            </w:pPr>
            <w:r w:rsidRPr="00D86C97">
              <w:t>Deep</w:t>
            </w:r>
            <w:r>
              <w:t xml:space="preserve"> (Delta-lognormal model)</w:t>
            </w:r>
          </w:p>
        </w:tc>
        <w:tc>
          <w:tcPr>
            <w:tcW w:w="2250" w:type="dxa"/>
            <w:tcBorders>
              <w:top w:val="nil"/>
              <w:left w:val="nil"/>
              <w:bottom w:val="nil"/>
              <w:right w:val="single" w:sz="4" w:space="0" w:color="auto"/>
            </w:tcBorders>
            <w:shd w:val="clear" w:color="auto" w:fill="auto"/>
            <w:noWrap/>
            <w:vAlign w:val="center"/>
            <w:hideMark/>
          </w:tcPr>
          <w:p w14:paraId="3D9BD590" w14:textId="0F836FE0" w:rsidR="009F713D" w:rsidRPr="00D86C97" w:rsidRDefault="009F713D" w:rsidP="00281477">
            <w:pPr>
              <w:pStyle w:val="NoSpacing"/>
            </w:pPr>
            <w:r w:rsidRPr="00D86C97">
              <w:t>Binomial</w:t>
            </w:r>
          </w:p>
        </w:tc>
        <w:tc>
          <w:tcPr>
            <w:tcW w:w="1190" w:type="dxa"/>
            <w:tcBorders>
              <w:top w:val="nil"/>
              <w:left w:val="single" w:sz="4" w:space="0" w:color="auto"/>
              <w:bottom w:val="nil"/>
              <w:right w:val="nil"/>
            </w:tcBorders>
            <w:shd w:val="clear" w:color="auto" w:fill="auto"/>
            <w:noWrap/>
            <w:vAlign w:val="center"/>
            <w:hideMark/>
          </w:tcPr>
          <w:p w14:paraId="1E5CC8C9" w14:textId="5B29CEBF" w:rsidR="009F713D" w:rsidRPr="00D86C97" w:rsidRDefault="009F713D" w:rsidP="00127F44">
            <w:pPr>
              <w:pStyle w:val="NoSpacing"/>
              <w:tabs>
                <w:tab w:val="decimal" w:pos="468"/>
              </w:tabs>
            </w:pPr>
            <w:r w:rsidRPr="00D86C97">
              <w:t>4.83</w:t>
            </w:r>
          </w:p>
        </w:tc>
      </w:tr>
      <w:tr w:rsidR="009F713D" w:rsidRPr="00D86C97" w14:paraId="060D221B" w14:textId="77777777" w:rsidTr="00127F44">
        <w:trPr>
          <w:trHeight w:val="300"/>
          <w:jc w:val="center"/>
        </w:trPr>
        <w:tc>
          <w:tcPr>
            <w:tcW w:w="2700" w:type="dxa"/>
            <w:vMerge/>
            <w:tcBorders>
              <w:left w:val="nil"/>
              <w:bottom w:val="nil"/>
              <w:right w:val="nil"/>
            </w:tcBorders>
            <w:shd w:val="clear" w:color="auto" w:fill="auto"/>
            <w:noWrap/>
            <w:vAlign w:val="center"/>
            <w:hideMark/>
          </w:tcPr>
          <w:p w14:paraId="6EFAD5E2" w14:textId="21BE5008" w:rsidR="009F713D" w:rsidRPr="00D86C97" w:rsidRDefault="009F713D" w:rsidP="00B468DF">
            <w:pPr>
              <w:pStyle w:val="NoSpacing"/>
            </w:pPr>
          </w:p>
        </w:tc>
        <w:tc>
          <w:tcPr>
            <w:tcW w:w="2250" w:type="dxa"/>
            <w:tcBorders>
              <w:top w:val="nil"/>
              <w:left w:val="nil"/>
              <w:bottom w:val="nil"/>
              <w:right w:val="single" w:sz="4" w:space="0" w:color="auto"/>
            </w:tcBorders>
            <w:shd w:val="clear" w:color="auto" w:fill="auto"/>
            <w:noWrap/>
            <w:vAlign w:val="center"/>
            <w:hideMark/>
          </w:tcPr>
          <w:p w14:paraId="27EC2CB9" w14:textId="77777777" w:rsidR="009F713D" w:rsidRPr="00D86C97" w:rsidRDefault="009F713D" w:rsidP="00B468DF">
            <w:pPr>
              <w:pStyle w:val="NoSpacing"/>
            </w:pPr>
            <w:r w:rsidRPr="00D86C97">
              <w:t>Lognormal</w:t>
            </w:r>
          </w:p>
        </w:tc>
        <w:tc>
          <w:tcPr>
            <w:tcW w:w="1190" w:type="dxa"/>
            <w:tcBorders>
              <w:top w:val="nil"/>
              <w:left w:val="single" w:sz="4" w:space="0" w:color="auto"/>
              <w:bottom w:val="nil"/>
              <w:right w:val="nil"/>
            </w:tcBorders>
            <w:shd w:val="clear" w:color="auto" w:fill="auto"/>
            <w:noWrap/>
            <w:vAlign w:val="center"/>
            <w:hideMark/>
          </w:tcPr>
          <w:p w14:paraId="2A7C8528" w14:textId="6DED6D6B" w:rsidR="009F713D" w:rsidRPr="00D86C97" w:rsidRDefault="009F713D" w:rsidP="00127F44">
            <w:pPr>
              <w:pStyle w:val="NoSpacing"/>
              <w:tabs>
                <w:tab w:val="decimal" w:pos="468"/>
              </w:tabs>
            </w:pPr>
            <w:r w:rsidRPr="00D86C97">
              <w:t>34.90</w:t>
            </w:r>
          </w:p>
        </w:tc>
      </w:tr>
    </w:tbl>
    <w:p w14:paraId="655AD4C9" w14:textId="77777777" w:rsidR="0004609F" w:rsidRDefault="0004609F">
      <w:pPr>
        <w:pStyle w:val="Caption"/>
      </w:pPr>
      <w:bookmarkStart w:id="3" w:name="_Ref500488951"/>
      <w:r>
        <w:t xml:space="preserve">Table </w:t>
      </w:r>
      <w:r w:rsidR="00A92D0A">
        <w:fldChar w:fldCharType="begin"/>
      </w:r>
      <w:r w:rsidR="00A92D0A">
        <w:instrText xml:space="preserve"> SEQ Table \* ARABIC </w:instrText>
      </w:r>
      <w:r w:rsidR="00A92D0A">
        <w:fldChar w:fldCharType="separate"/>
      </w:r>
      <w:r w:rsidR="00E33BD3">
        <w:rPr>
          <w:noProof/>
        </w:rPr>
        <w:t>2</w:t>
      </w:r>
      <w:r w:rsidR="00A92D0A">
        <w:rPr>
          <w:noProof/>
        </w:rPr>
        <w:fldChar w:fldCharType="end"/>
      </w:r>
      <w:bookmarkEnd w:id="3"/>
      <w:r>
        <w:t>. Final Models for the delta-lognormal CPUE standardization.</w:t>
      </w:r>
    </w:p>
    <w:tbl>
      <w:tblPr>
        <w:tblStyle w:val="TableGrid"/>
        <w:tblW w:w="0" w:type="auto"/>
        <w:tblLook w:val="04A0" w:firstRow="1" w:lastRow="0" w:firstColumn="1" w:lastColumn="0" w:noHBand="0" w:noVBand="1"/>
        <w:tblDescription w:val="Final Models for the delta-lognormal CPUE standardization"/>
      </w:tblPr>
      <w:tblGrid>
        <w:gridCol w:w="2250"/>
        <w:gridCol w:w="5670"/>
        <w:gridCol w:w="1440"/>
      </w:tblGrid>
      <w:tr w:rsidR="0004609F" w14:paraId="609225EC" w14:textId="77777777" w:rsidTr="00127F44">
        <w:tc>
          <w:tcPr>
            <w:tcW w:w="2250" w:type="dxa"/>
            <w:tcBorders>
              <w:top w:val="nil"/>
              <w:left w:val="nil"/>
              <w:bottom w:val="single" w:sz="4" w:space="0" w:color="auto"/>
            </w:tcBorders>
            <w:vAlign w:val="bottom"/>
          </w:tcPr>
          <w:p w14:paraId="68A21E20" w14:textId="77777777" w:rsidR="0004609F" w:rsidRPr="00127F44" w:rsidRDefault="0004609F" w:rsidP="00127F44">
            <w:pPr>
              <w:spacing w:after="0"/>
              <w:jc w:val="center"/>
              <w:rPr>
                <w:b/>
              </w:rPr>
            </w:pPr>
            <w:r w:rsidRPr="00127F44">
              <w:rPr>
                <w:b/>
              </w:rPr>
              <w:t>Time Series</w:t>
            </w:r>
          </w:p>
        </w:tc>
        <w:tc>
          <w:tcPr>
            <w:tcW w:w="5670" w:type="dxa"/>
            <w:tcBorders>
              <w:top w:val="nil"/>
              <w:bottom w:val="single" w:sz="4" w:space="0" w:color="auto"/>
              <w:right w:val="nil"/>
            </w:tcBorders>
            <w:vAlign w:val="bottom"/>
          </w:tcPr>
          <w:p w14:paraId="2E6A9C2D" w14:textId="77777777" w:rsidR="0004609F" w:rsidRPr="00127F44" w:rsidRDefault="0004609F" w:rsidP="00127F44">
            <w:pPr>
              <w:spacing w:after="0"/>
              <w:jc w:val="center"/>
              <w:rPr>
                <w:b/>
              </w:rPr>
            </w:pPr>
            <w:r w:rsidRPr="00127F44">
              <w:rPr>
                <w:b/>
              </w:rPr>
              <w:t>Model</w:t>
            </w:r>
          </w:p>
        </w:tc>
        <w:tc>
          <w:tcPr>
            <w:tcW w:w="1440" w:type="dxa"/>
            <w:tcBorders>
              <w:top w:val="nil"/>
              <w:bottom w:val="single" w:sz="4" w:space="0" w:color="auto"/>
              <w:right w:val="nil"/>
            </w:tcBorders>
            <w:vAlign w:val="bottom"/>
          </w:tcPr>
          <w:p w14:paraId="4AF62910" w14:textId="77777777" w:rsidR="0004609F" w:rsidRPr="00127F44" w:rsidRDefault="0004609F" w:rsidP="00127F44">
            <w:pPr>
              <w:spacing w:after="0"/>
              <w:jc w:val="center"/>
              <w:rPr>
                <w:b/>
              </w:rPr>
            </w:pPr>
            <w:r w:rsidRPr="00127F44">
              <w:rPr>
                <w:b/>
              </w:rPr>
              <w:t>% Deviance Explained</w:t>
            </w:r>
          </w:p>
        </w:tc>
      </w:tr>
      <w:tr w:rsidR="0004609F" w14:paraId="14BBD363" w14:textId="77777777" w:rsidTr="009F713D">
        <w:tc>
          <w:tcPr>
            <w:tcW w:w="2250" w:type="dxa"/>
            <w:tcBorders>
              <w:top w:val="nil"/>
              <w:left w:val="nil"/>
              <w:bottom w:val="nil"/>
            </w:tcBorders>
          </w:tcPr>
          <w:p w14:paraId="36E1D8E4" w14:textId="105E536C" w:rsidR="0004609F" w:rsidRDefault="0004609F" w:rsidP="00A83490">
            <w:r>
              <w:t xml:space="preserve">Early </w:t>
            </w:r>
            <w:r w:rsidR="000D0A0F">
              <w:t>Shallow-set</w:t>
            </w:r>
            <w:r>
              <w:t xml:space="preserve"> Proportion Positives</w:t>
            </w:r>
            <w:r w:rsidR="00023940">
              <w:t xml:space="preserve"> (binomial)</w:t>
            </w:r>
          </w:p>
        </w:tc>
        <w:tc>
          <w:tcPr>
            <w:tcW w:w="5670" w:type="dxa"/>
            <w:tcBorders>
              <w:top w:val="nil"/>
              <w:bottom w:val="nil"/>
              <w:right w:val="nil"/>
            </w:tcBorders>
          </w:tcPr>
          <w:p w14:paraId="114A7913" w14:textId="77777777" w:rsidR="0004609F" w:rsidRDefault="0004609F" w:rsidP="00A83490">
            <w:pPr>
              <w:ind w:left="976" w:hanging="976"/>
            </w:pPr>
            <w:r>
              <w:t xml:space="preserve">Caught ~ Lat+ </w:t>
            </w:r>
            <w:r w:rsidRPr="009C33BE">
              <w:t>Quarter</w:t>
            </w:r>
            <w:r>
              <w:t xml:space="preserve">+ Begin + HPF </w:t>
            </w:r>
            <w:r w:rsidRPr="009C33BE">
              <w:t>+</w:t>
            </w:r>
            <w:r>
              <w:t xml:space="preserve"> </w:t>
            </w:r>
            <w:r w:rsidRPr="009C33BE">
              <w:t>Illum</w:t>
            </w:r>
            <w:r>
              <w:t xml:space="preserve"> + Year + Bait</w:t>
            </w:r>
          </w:p>
        </w:tc>
        <w:tc>
          <w:tcPr>
            <w:tcW w:w="1440" w:type="dxa"/>
            <w:tcBorders>
              <w:top w:val="nil"/>
              <w:bottom w:val="nil"/>
              <w:right w:val="nil"/>
            </w:tcBorders>
            <w:vAlign w:val="center"/>
          </w:tcPr>
          <w:p w14:paraId="711383FF" w14:textId="0DB30571" w:rsidR="0004609F" w:rsidRDefault="0004609F" w:rsidP="00127F44">
            <w:pPr>
              <w:tabs>
                <w:tab w:val="decimal" w:pos="630"/>
              </w:tabs>
            </w:pPr>
            <w:r>
              <w:t>65</w:t>
            </w:r>
          </w:p>
        </w:tc>
      </w:tr>
      <w:tr w:rsidR="009F713D" w14:paraId="512823EE" w14:textId="77777777" w:rsidTr="009F713D">
        <w:tc>
          <w:tcPr>
            <w:tcW w:w="2250" w:type="dxa"/>
            <w:tcBorders>
              <w:top w:val="nil"/>
              <w:left w:val="nil"/>
              <w:bottom w:val="nil"/>
            </w:tcBorders>
          </w:tcPr>
          <w:p w14:paraId="6877CEF4" w14:textId="27E4842A" w:rsidR="009F713D" w:rsidRDefault="009F713D" w:rsidP="00B468DF">
            <w:r>
              <w:t xml:space="preserve">Early </w:t>
            </w:r>
            <w:r w:rsidR="000D0A0F">
              <w:t>Shallow-set</w:t>
            </w:r>
            <w:r>
              <w:t xml:space="preserve"> Positive Catches (lognormal)</w:t>
            </w:r>
          </w:p>
        </w:tc>
        <w:tc>
          <w:tcPr>
            <w:tcW w:w="5670" w:type="dxa"/>
            <w:tcBorders>
              <w:top w:val="nil"/>
              <w:bottom w:val="nil"/>
              <w:right w:val="nil"/>
            </w:tcBorders>
          </w:tcPr>
          <w:p w14:paraId="574B5981" w14:textId="77777777" w:rsidR="009F713D" w:rsidRDefault="009F713D" w:rsidP="00B468DF">
            <w:pPr>
              <w:ind w:left="1336" w:hanging="1336"/>
            </w:pPr>
            <w:r>
              <w:t>log(CPUE) ~ Lat + Quarter + HPSet + Illum + HPF + Begin + Year + SST + MLD + Permit</w:t>
            </w:r>
          </w:p>
        </w:tc>
        <w:tc>
          <w:tcPr>
            <w:tcW w:w="1440" w:type="dxa"/>
            <w:tcBorders>
              <w:top w:val="nil"/>
              <w:bottom w:val="nil"/>
              <w:right w:val="nil"/>
            </w:tcBorders>
            <w:vAlign w:val="center"/>
          </w:tcPr>
          <w:p w14:paraId="00B5952A" w14:textId="04AEF702" w:rsidR="009F713D" w:rsidRDefault="009F713D" w:rsidP="00127F44">
            <w:pPr>
              <w:tabs>
                <w:tab w:val="decimal" w:pos="630"/>
              </w:tabs>
              <w:ind w:left="1336" w:hanging="1336"/>
            </w:pPr>
            <w:r>
              <w:t>40.8</w:t>
            </w:r>
          </w:p>
        </w:tc>
      </w:tr>
      <w:tr w:rsidR="0004609F" w14:paraId="59A36DCF" w14:textId="77777777" w:rsidTr="009F713D">
        <w:tc>
          <w:tcPr>
            <w:tcW w:w="2250" w:type="dxa"/>
            <w:tcBorders>
              <w:top w:val="nil"/>
              <w:left w:val="nil"/>
              <w:bottom w:val="nil"/>
            </w:tcBorders>
          </w:tcPr>
          <w:p w14:paraId="04A93949" w14:textId="77777777" w:rsidR="0004609F" w:rsidRDefault="0004609F" w:rsidP="00A83490">
            <w:r>
              <w:t>Late Shallow Positive Catches</w:t>
            </w:r>
            <w:r w:rsidR="00023940">
              <w:t xml:space="preserve"> (lognormal)</w:t>
            </w:r>
          </w:p>
        </w:tc>
        <w:tc>
          <w:tcPr>
            <w:tcW w:w="5670" w:type="dxa"/>
            <w:tcBorders>
              <w:top w:val="nil"/>
              <w:bottom w:val="nil"/>
              <w:right w:val="nil"/>
            </w:tcBorders>
          </w:tcPr>
          <w:p w14:paraId="6B076176" w14:textId="77777777" w:rsidR="0004609F" w:rsidRDefault="0004609F" w:rsidP="00A83490">
            <w:pPr>
              <w:ind w:left="1336" w:hanging="1336"/>
            </w:pPr>
            <w:r>
              <w:t>log(CPUE) ~ Illum + Year + Quarter + HPSet + HPF + SST + Lat + MLD + Permit</w:t>
            </w:r>
          </w:p>
        </w:tc>
        <w:tc>
          <w:tcPr>
            <w:tcW w:w="1440" w:type="dxa"/>
            <w:tcBorders>
              <w:top w:val="nil"/>
              <w:bottom w:val="nil"/>
              <w:right w:val="nil"/>
            </w:tcBorders>
            <w:vAlign w:val="center"/>
          </w:tcPr>
          <w:p w14:paraId="1532D1B3" w14:textId="4746C099" w:rsidR="0004609F" w:rsidRDefault="0004609F" w:rsidP="00127F44">
            <w:pPr>
              <w:tabs>
                <w:tab w:val="decimal" w:pos="630"/>
              </w:tabs>
              <w:ind w:left="1336" w:hanging="1336"/>
            </w:pPr>
            <w:r>
              <w:t>25.6</w:t>
            </w:r>
          </w:p>
        </w:tc>
      </w:tr>
      <w:tr w:rsidR="0004609F" w14:paraId="0AF64AD5" w14:textId="77777777" w:rsidTr="00A83490">
        <w:tc>
          <w:tcPr>
            <w:tcW w:w="2250" w:type="dxa"/>
            <w:tcBorders>
              <w:top w:val="nil"/>
              <w:left w:val="nil"/>
              <w:bottom w:val="nil"/>
            </w:tcBorders>
          </w:tcPr>
          <w:p w14:paraId="15192C6F" w14:textId="00578241" w:rsidR="0004609F" w:rsidRDefault="00F764D8" w:rsidP="00A83490">
            <w:r>
              <w:t>Deep-set</w:t>
            </w:r>
            <w:r w:rsidR="0004609F">
              <w:t xml:space="preserve"> Proportion Positives</w:t>
            </w:r>
            <w:r w:rsidR="00023940">
              <w:t xml:space="preserve"> (binomial)</w:t>
            </w:r>
          </w:p>
        </w:tc>
        <w:tc>
          <w:tcPr>
            <w:tcW w:w="5670" w:type="dxa"/>
            <w:tcBorders>
              <w:top w:val="nil"/>
              <w:bottom w:val="nil"/>
              <w:right w:val="nil"/>
            </w:tcBorders>
          </w:tcPr>
          <w:p w14:paraId="01CA6450" w14:textId="77777777" w:rsidR="0004609F" w:rsidRDefault="0004609F" w:rsidP="00A83490">
            <w:pPr>
              <w:ind w:left="976" w:hanging="976"/>
            </w:pPr>
            <w:r>
              <w:t>Caught ~ Quarter + Year + HPSet + Lat + HPF + BeginSetTime + SST + Illum + MLD + SOI</w:t>
            </w:r>
          </w:p>
        </w:tc>
        <w:tc>
          <w:tcPr>
            <w:tcW w:w="1440" w:type="dxa"/>
            <w:tcBorders>
              <w:top w:val="nil"/>
              <w:bottom w:val="nil"/>
              <w:right w:val="nil"/>
            </w:tcBorders>
            <w:vAlign w:val="center"/>
          </w:tcPr>
          <w:p w14:paraId="4C76F733" w14:textId="382CB4D5" w:rsidR="0004609F" w:rsidRDefault="0004609F" w:rsidP="00127F44">
            <w:pPr>
              <w:tabs>
                <w:tab w:val="decimal" w:pos="630"/>
              </w:tabs>
              <w:ind w:left="976" w:hanging="976"/>
            </w:pPr>
            <w:r>
              <w:t>5</w:t>
            </w:r>
          </w:p>
        </w:tc>
      </w:tr>
      <w:tr w:rsidR="009F713D" w14:paraId="3139490E" w14:textId="77777777" w:rsidTr="00B468DF">
        <w:tc>
          <w:tcPr>
            <w:tcW w:w="2250" w:type="dxa"/>
            <w:tcBorders>
              <w:top w:val="nil"/>
              <w:left w:val="nil"/>
              <w:bottom w:val="nil"/>
            </w:tcBorders>
          </w:tcPr>
          <w:p w14:paraId="73157499" w14:textId="26221238" w:rsidR="009F713D" w:rsidRDefault="00F764D8" w:rsidP="00B468DF">
            <w:r>
              <w:t>Deep-set</w:t>
            </w:r>
            <w:r w:rsidR="009F713D">
              <w:t xml:space="preserve"> Positive Catches (lognormal)</w:t>
            </w:r>
          </w:p>
        </w:tc>
        <w:tc>
          <w:tcPr>
            <w:tcW w:w="5670" w:type="dxa"/>
            <w:tcBorders>
              <w:top w:val="nil"/>
              <w:bottom w:val="nil"/>
              <w:right w:val="nil"/>
            </w:tcBorders>
          </w:tcPr>
          <w:p w14:paraId="19270294" w14:textId="77777777" w:rsidR="009F713D" w:rsidRDefault="009F713D" w:rsidP="00B468DF">
            <w:pPr>
              <w:ind w:left="1336" w:hanging="1336"/>
            </w:pPr>
            <w:r>
              <w:t>log(CPUE) ~ HPSet + Begin + Quarter + Year + HPF + Bait + Lat + SST + Permit</w:t>
            </w:r>
          </w:p>
        </w:tc>
        <w:tc>
          <w:tcPr>
            <w:tcW w:w="1440" w:type="dxa"/>
            <w:tcBorders>
              <w:top w:val="nil"/>
              <w:bottom w:val="nil"/>
              <w:right w:val="nil"/>
            </w:tcBorders>
            <w:vAlign w:val="center"/>
          </w:tcPr>
          <w:p w14:paraId="089AAF07" w14:textId="0421B11C" w:rsidR="009F713D" w:rsidRDefault="009F713D" w:rsidP="00127F44">
            <w:pPr>
              <w:tabs>
                <w:tab w:val="decimal" w:pos="630"/>
              </w:tabs>
              <w:ind w:left="1336" w:hanging="1336"/>
            </w:pPr>
            <w:r>
              <w:t>34.9</w:t>
            </w:r>
          </w:p>
        </w:tc>
      </w:tr>
    </w:tbl>
    <w:p w14:paraId="25A175B1" w14:textId="77777777" w:rsidR="0004609F" w:rsidRDefault="0004609F" w:rsidP="0004609F">
      <w:pPr>
        <w:rPr>
          <w:rFonts w:ascii="Arial" w:hAnsi="Arial"/>
          <w:sz w:val="22"/>
          <w:szCs w:val="18"/>
        </w:rPr>
      </w:pPr>
      <w:r>
        <w:br w:type="page"/>
      </w:r>
    </w:p>
    <w:p w14:paraId="3E2CD680" w14:textId="3B880F1C" w:rsidR="00112EDC" w:rsidRDefault="00112EDC">
      <w:pPr>
        <w:pStyle w:val="Caption"/>
      </w:pPr>
      <w:bookmarkStart w:id="4" w:name="_Ref500489383"/>
      <w:r>
        <w:lastRenderedPageBreak/>
        <w:t xml:space="preserve">Table </w:t>
      </w:r>
      <w:r w:rsidR="00A92D0A">
        <w:fldChar w:fldCharType="begin"/>
      </w:r>
      <w:r w:rsidR="00A92D0A">
        <w:instrText xml:space="preserve"> SEQ Table \* ARABIC </w:instrText>
      </w:r>
      <w:r w:rsidR="00A92D0A">
        <w:fldChar w:fldCharType="separate"/>
      </w:r>
      <w:r w:rsidR="00E33BD3">
        <w:rPr>
          <w:noProof/>
        </w:rPr>
        <w:t>3</w:t>
      </w:r>
      <w:r w:rsidR="00A92D0A">
        <w:rPr>
          <w:noProof/>
        </w:rPr>
        <w:fldChar w:fldCharType="end"/>
      </w:r>
      <w:bookmarkEnd w:id="4"/>
      <w:r>
        <w:t xml:space="preserve">. </w:t>
      </w:r>
      <w:r w:rsidR="00B94F1C">
        <w:t xml:space="preserve">Proportion of </w:t>
      </w:r>
      <w:r>
        <w:t>deviance explained by all the potential explan</w:t>
      </w:r>
      <w:r w:rsidR="00281477">
        <w:t>a</w:t>
      </w:r>
      <w:r>
        <w:t xml:space="preserve">tory variables </w:t>
      </w:r>
      <w:r>
        <w:rPr>
          <w:noProof/>
        </w:rPr>
        <w:t>for the delta-lognormal CPUE standardization models.</w:t>
      </w:r>
      <w:r w:rsidR="007B4D2B">
        <w:rPr>
          <w:noProof/>
        </w:rPr>
        <w:t xml:space="preserve"> Variables treated as factors </w:t>
      </w:r>
      <w:r w:rsidR="00327A8E">
        <w:rPr>
          <w:noProof/>
        </w:rPr>
        <w:t>were</w:t>
      </w:r>
      <w:r w:rsidR="007B4D2B">
        <w:rPr>
          <w:noProof/>
        </w:rPr>
        <w:t>: Year, Quarter, Hooks Per Float (HPF), Begin, and Bait. Variables treated as continuous include: Hooks per set (HPSet), sea surface temperature (SST), mixed layer depth (MLD), Lunar Illumination (Illum), Latitude, Longitude, Pacific Decadal Oscillation Index (PDO), and Southern Oscillation Index (SOI). Permit number was included as a random effect</w:t>
      </w:r>
      <w:r w:rsidR="00666A7F">
        <w:rPr>
          <w:noProof/>
        </w:rPr>
        <w:t xml:space="preserve">. </w:t>
      </w:r>
    </w:p>
    <w:tbl>
      <w:tblPr>
        <w:tblW w:w="8924" w:type="dxa"/>
        <w:jc w:val="center"/>
        <w:tblLook w:val="04A0" w:firstRow="1" w:lastRow="0" w:firstColumn="1" w:lastColumn="0" w:noHBand="0" w:noVBand="1"/>
        <w:tblDescription w:val="Proportion of deviance explained by all the potential explanatory variables for the delta-lognormal CPUE standardization models. Variables treated as factors were: Year, Quarter, Hooks Per Float (HPF), Begin, and Bait. Variables treated as continuous include: Hooks per set (HPSet), sea surface temperature (SST), mixed layer depth (MLD), Lunar Illumination (Illum), Latitude, Longitude, Pacific Decadal Oscillation Index (PDO), and Southern Oscillation Index (SOI). Permit number was included as a random effect."/>
      </w:tblPr>
      <w:tblGrid>
        <w:gridCol w:w="1603"/>
        <w:gridCol w:w="1350"/>
        <w:gridCol w:w="1761"/>
        <w:gridCol w:w="1350"/>
        <w:gridCol w:w="1430"/>
        <w:gridCol w:w="1430"/>
      </w:tblGrid>
      <w:tr w:rsidR="00E42A54" w:rsidRPr="007A5260" w14:paraId="09494484" w14:textId="77777777" w:rsidTr="00127F44">
        <w:trPr>
          <w:trHeight w:val="300"/>
          <w:jc w:val="center"/>
        </w:trPr>
        <w:tc>
          <w:tcPr>
            <w:tcW w:w="1603" w:type="dxa"/>
            <w:tcBorders>
              <w:top w:val="nil"/>
              <w:left w:val="nil"/>
              <w:right w:val="nil"/>
            </w:tcBorders>
            <w:shd w:val="clear" w:color="auto" w:fill="auto"/>
            <w:noWrap/>
            <w:vAlign w:val="bottom"/>
            <w:hideMark/>
          </w:tcPr>
          <w:p w14:paraId="592DC61D" w14:textId="77777777" w:rsidR="00E42A54" w:rsidRPr="00E42A54" w:rsidRDefault="00E42A54" w:rsidP="00E42A54">
            <w:pPr>
              <w:pStyle w:val="NoSpacing"/>
              <w:rPr>
                <w:szCs w:val="24"/>
              </w:rPr>
            </w:pPr>
          </w:p>
        </w:tc>
        <w:tc>
          <w:tcPr>
            <w:tcW w:w="7321" w:type="dxa"/>
            <w:gridSpan w:val="5"/>
            <w:tcBorders>
              <w:top w:val="nil"/>
              <w:left w:val="nil"/>
              <w:bottom w:val="single" w:sz="4" w:space="0" w:color="auto"/>
              <w:right w:val="nil"/>
            </w:tcBorders>
          </w:tcPr>
          <w:p w14:paraId="36D075D0" w14:textId="398B885D" w:rsidR="00E42A54" w:rsidRPr="00127F44" w:rsidRDefault="00E42A54" w:rsidP="00E42A54">
            <w:pPr>
              <w:pStyle w:val="NoSpacing"/>
              <w:jc w:val="center"/>
              <w:rPr>
                <w:b/>
                <w:color w:val="000000"/>
                <w:szCs w:val="24"/>
              </w:rPr>
            </w:pPr>
            <w:r w:rsidRPr="00127F44">
              <w:rPr>
                <w:b/>
                <w:color w:val="000000"/>
                <w:szCs w:val="24"/>
              </w:rPr>
              <w:t>Percent Deviance Explained</w:t>
            </w:r>
          </w:p>
        </w:tc>
      </w:tr>
      <w:tr w:rsidR="00E42A54" w:rsidRPr="007A5260" w14:paraId="21A57E1B" w14:textId="77777777" w:rsidTr="00127F44">
        <w:trPr>
          <w:trHeight w:val="1080"/>
          <w:jc w:val="center"/>
        </w:trPr>
        <w:tc>
          <w:tcPr>
            <w:tcW w:w="1603" w:type="dxa"/>
            <w:tcBorders>
              <w:top w:val="nil"/>
              <w:left w:val="nil"/>
              <w:bottom w:val="single" w:sz="4" w:space="0" w:color="auto"/>
              <w:right w:val="single" w:sz="4" w:space="0" w:color="auto"/>
            </w:tcBorders>
            <w:shd w:val="clear" w:color="auto" w:fill="auto"/>
            <w:noWrap/>
            <w:vAlign w:val="bottom"/>
            <w:hideMark/>
          </w:tcPr>
          <w:p w14:paraId="5AD622B1" w14:textId="77777777" w:rsidR="00E42A54" w:rsidRPr="00127F44" w:rsidRDefault="00E42A54" w:rsidP="00E42A54">
            <w:pPr>
              <w:pStyle w:val="NoSpacing"/>
              <w:rPr>
                <w:b/>
                <w:color w:val="000000"/>
                <w:szCs w:val="24"/>
              </w:rPr>
            </w:pPr>
            <w:r w:rsidRPr="00127F44">
              <w:rPr>
                <w:b/>
                <w:color w:val="000000"/>
                <w:szCs w:val="24"/>
              </w:rPr>
              <w:t>Parameter</w:t>
            </w:r>
          </w:p>
        </w:tc>
        <w:tc>
          <w:tcPr>
            <w:tcW w:w="1243" w:type="dxa"/>
            <w:tcBorders>
              <w:top w:val="single" w:sz="4" w:space="0" w:color="auto"/>
              <w:left w:val="nil"/>
              <w:bottom w:val="single" w:sz="4" w:space="0" w:color="auto"/>
            </w:tcBorders>
            <w:shd w:val="clear" w:color="auto" w:fill="auto"/>
            <w:noWrap/>
            <w:vAlign w:val="bottom"/>
            <w:hideMark/>
          </w:tcPr>
          <w:p w14:paraId="1753AED5" w14:textId="1B942C95" w:rsidR="00E42A54" w:rsidRPr="00127F44" w:rsidRDefault="00F764D8" w:rsidP="00E42A54">
            <w:pPr>
              <w:pStyle w:val="NoSpacing"/>
              <w:jc w:val="center"/>
              <w:rPr>
                <w:b/>
                <w:color w:val="000000"/>
                <w:szCs w:val="24"/>
              </w:rPr>
            </w:pPr>
            <w:r w:rsidRPr="00127F44">
              <w:rPr>
                <w:b/>
                <w:color w:val="000000"/>
                <w:szCs w:val="24"/>
              </w:rPr>
              <w:t>Deep-set</w:t>
            </w:r>
            <w:r w:rsidR="00E42A54" w:rsidRPr="00127F44">
              <w:rPr>
                <w:b/>
                <w:color w:val="000000"/>
                <w:szCs w:val="24"/>
              </w:rPr>
              <w:t xml:space="preserve"> Proportion Positives (binomial)</w:t>
            </w:r>
          </w:p>
        </w:tc>
        <w:tc>
          <w:tcPr>
            <w:tcW w:w="2109" w:type="dxa"/>
            <w:tcBorders>
              <w:top w:val="single" w:sz="4" w:space="0" w:color="auto"/>
              <w:bottom w:val="single" w:sz="4" w:space="0" w:color="auto"/>
              <w:right w:val="nil"/>
            </w:tcBorders>
            <w:shd w:val="clear" w:color="auto" w:fill="auto"/>
            <w:vAlign w:val="bottom"/>
          </w:tcPr>
          <w:p w14:paraId="2D908827" w14:textId="1E7F0674" w:rsidR="00E42A54" w:rsidRPr="00127F44" w:rsidRDefault="00F764D8" w:rsidP="00E42A54">
            <w:pPr>
              <w:pStyle w:val="NoSpacing"/>
              <w:jc w:val="center"/>
              <w:rPr>
                <w:b/>
                <w:color w:val="000000"/>
                <w:szCs w:val="24"/>
              </w:rPr>
            </w:pPr>
            <w:r w:rsidRPr="00127F44">
              <w:rPr>
                <w:b/>
                <w:color w:val="000000"/>
                <w:szCs w:val="24"/>
              </w:rPr>
              <w:t>Deep-set</w:t>
            </w:r>
            <w:r w:rsidR="00E42A54" w:rsidRPr="00127F44">
              <w:rPr>
                <w:b/>
                <w:color w:val="000000"/>
                <w:szCs w:val="24"/>
              </w:rPr>
              <w:t xml:space="preserve"> Positive Catches (lognormal)</w:t>
            </w:r>
          </w:p>
        </w:tc>
        <w:tc>
          <w:tcPr>
            <w:tcW w:w="1243" w:type="dxa"/>
            <w:tcBorders>
              <w:top w:val="single" w:sz="4" w:space="0" w:color="auto"/>
              <w:bottom w:val="single" w:sz="4" w:space="0" w:color="auto"/>
              <w:right w:val="nil"/>
            </w:tcBorders>
            <w:vAlign w:val="bottom"/>
          </w:tcPr>
          <w:p w14:paraId="3A69D72E" w14:textId="0A275E12" w:rsidR="00E42A54" w:rsidRPr="00127F44" w:rsidRDefault="00E42A54" w:rsidP="00E42A54">
            <w:pPr>
              <w:pStyle w:val="NoSpacing"/>
              <w:jc w:val="center"/>
              <w:rPr>
                <w:b/>
                <w:color w:val="000000"/>
                <w:szCs w:val="24"/>
              </w:rPr>
            </w:pPr>
            <w:r w:rsidRPr="00127F44">
              <w:rPr>
                <w:b/>
                <w:color w:val="000000"/>
                <w:szCs w:val="24"/>
              </w:rPr>
              <w:t xml:space="preserve">Early </w:t>
            </w:r>
            <w:r w:rsidR="000D0A0F" w:rsidRPr="00127F44">
              <w:rPr>
                <w:b/>
                <w:color w:val="000000"/>
                <w:szCs w:val="24"/>
              </w:rPr>
              <w:t>Shallow-set</w:t>
            </w:r>
            <w:r w:rsidRPr="00127F44">
              <w:rPr>
                <w:b/>
                <w:color w:val="000000"/>
                <w:szCs w:val="24"/>
              </w:rPr>
              <w:t xml:space="preserve"> Proportion Positives (binomial)</w:t>
            </w:r>
          </w:p>
        </w:tc>
        <w:tc>
          <w:tcPr>
            <w:tcW w:w="1363" w:type="dxa"/>
            <w:tcBorders>
              <w:top w:val="single" w:sz="4" w:space="0" w:color="auto"/>
              <w:left w:val="nil"/>
              <w:bottom w:val="single" w:sz="4" w:space="0" w:color="auto"/>
              <w:right w:val="nil"/>
            </w:tcBorders>
            <w:shd w:val="clear" w:color="auto" w:fill="auto"/>
            <w:noWrap/>
            <w:vAlign w:val="bottom"/>
            <w:hideMark/>
          </w:tcPr>
          <w:p w14:paraId="0066D648" w14:textId="2350886C" w:rsidR="00E42A54" w:rsidRPr="00127F44" w:rsidRDefault="00E42A54" w:rsidP="00E42A54">
            <w:pPr>
              <w:pStyle w:val="NoSpacing"/>
              <w:jc w:val="center"/>
              <w:rPr>
                <w:b/>
                <w:color w:val="000000"/>
                <w:szCs w:val="24"/>
              </w:rPr>
            </w:pPr>
            <w:r w:rsidRPr="00127F44">
              <w:rPr>
                <w:b/>
                <w:color w:val="000000"/>
                <w:szCs w:val="24"/>
              </w:rPr>
              <w:t xml:space="preserve">Early </w:t>
            </w:r>
            <w:r w:rsidR="000D0A0F" w:rsidRPr="00127F44">
              <w:rPr>
                <w:b/>
                <w:color w:val="000000"/>
                <w:szCs w:val="24"/>
              </w:rPr>
              <w:t>Shallow-set</w:t>
            </w:r>
            <w:r w:rsidRPr="00127F44">
              <w:rPr>
                <w:b/>
                <w:color w:val="000000"/>
                <w:szCs w:val="24"/>
              </w:rPr>
              <w:t xml:space="preserve"> Positive Catches (lognormal)</w:t>
            </w:r>
          </w:p>
        </w:tc>
        <w:tc>
          <w:tcPr>
            <w:tcW w:w="1363" w:type="dxa"/>
            <w:tcBorders>
              <w:top w:val="single" w:sz="4" w:space="0" w:color="auto"/>
              <w:left w:val="nil"/>
              <w:bottom w:val="single" w:sz="4" w:space="0" w:color="auto"/>
              <w:right w:val="nil"/>
            </w:tcBorders>
            <w:shd w:val="clear" w:color="auto" w:fill="auto"/>
            <w:noWrap/>
            <w:vAlign w:val="bottom"/>
            <w:hideMark/>
          </w:tcPr>
          <w:p w14:paraId="575637BF" w14:textId="638E4D55" w:rsidR="00E42A54" w:rsidRPr="00127F44" w:rsidRDefault="00E42A54" w:rsidP="00E42A54">
            <w:pPr>
              <w:pStyle w:val="NoSpacing"/>
              <w:jc w:val="center"/>
              <w:rPr>
                <w:b/>
                <w:color w:val="000000"/>
                <w:szCs w:val="24"/>
              </w:rPr>
            </w:pPr>
            <w:r w:rsidRPr="00127F44">
              <w:rPr>
                <w:b/>
                <w:color w:val="000000"/>
                <w:szCs w:val="24"/>
              </w:rPr>
              <w:t xml:space="preserve">Late </w:t>
            </w:r>
            <w:r w:rsidR="000D0A0F" w:rsidRPr="00127F44">
              <w:rPr>
                <w:b/>
                <w:color w:val="000000"/>
                <w:szCs w:val="24"/>
              </w:rPr>
              <w:t>Shallow-set</w:t>
            </w:r>
            <w:r w:rsidRPr="00127F44">
              <w:rPr>
                <w:b/>
                <w:color w:val="000000"/>
                <w:szCs w:val="24"/>
              </w:rPr>
              <w:t xml:space="preserve"> Positive Catches (lognormal)</w:t>
            </w:r>
          </w:p>
        </w:tc>
      </w:tr>
      <w:tr w:rsidR="00E42A54" w:rsidRPr="007A5260" w14:paraId="02CB9D50" w14:textId="77777777" w:rsidTr="00E42A54">
        <w:trPr>
          <w:trHeight w:val="300"/>
          <w:jc w:val="center"/>
        </w:trPr>
        <w:tc>
          <w:tcPr>
            <w:tcW w:w="1603" w:type="dxa"/>
            <w:tcBorders>
              <w:top w:val="single" w:sz="4" w:space="0" w:color="auto"/>
              <w:left w:val="nil"/>
              <w:bottom w:val="nil"/>
              <w:right w:val="single" w:sz="4" w:space="0" w:color="auto"/>
            </w:tcBorders>
            <w:shd w:val="clear" w:color="auto" w:fill="auto"/>
            <w:noWrap/>
            <w:vAlign w:val="bottom"/>
            <w:hideMark/>
          </w:tcPr>
          <w:p w14:paraId="64E38BBA" w14:textId="77777777" w:rsidR="00E42A54" w:rsidRPr="00E42A54" w:rsidRDefault="00E42A54" w:rsidP="00E42A54">
            <w:pPr>
              <w:pStyle w:val="NoSpacing"/>
              <w:rPr>
                <w:color w:val="000000"/>
                <w:szCs w:val="24"/>
              </w:rPr>
            </w:pPr>
            <w:r w:rsidRPr="00E42A54">
              <w:rPr>
                <w:color w:val="000000"/>
                <w:szCs w:val="24"/>
              </w:rPr>
              <w:t>Year</w:t>
            </w:r>
          </w:p>
        </w:tc>
        <w:tc>
          <w:tcPr>
            <w:tcW w:w="1243" w:type="dxa"/>
            <w:tcBorders>
              <w:top w:val="single" w:sz="4" w:space="0" w:color="auto"/>
              <w:left w:val="nil"/>
              <w:bottom w:val="nil"/>
            </w:tcBorders>
            <w:shd w:val="clear" w:color="auto" w:fill="auto"/>
            <w:noWrap/>
            <w:vAlign w:val="bottom"/>
            <w:hideMark/>
          </w:tcPr>
          <w:p w14:paraId="6FFDAAC9" w14:textId="77777777" w:rsidR="00E42A54" w:rsidRPr="00E42A54" w:rsidRDefault="00E42A54" w:rsidP="00127F44">
            <w:pPr>
              <w:pStyle w:val="NoSpacing"/>
              <w:tabs>
                <w:tab w:val="decimal" w:pos="501"/>
              </w:tabs>
              <w:rPr>
                <w:color w:val="000000"/>
                <w:szCs w:val="24"/>
              </w:rPr>
            </w:pPr>
            <w:r w:rsidRPr="00E42A54">
              <w:rPr>
                <w:color w:val="000000"/>
                <w:szCs w:val="24"/>
              </w:rPr>
              <w:t>1.05</w:t>
            </w:r>
          </w:p>
        </w:tc>
        <w:tc>
          <w:tcPr>
            <w:tcW w:w="2109" w:type="dxa"/>
            <w:tcBorders>
              <w:top w:val="single" w:sz="4" w:space="0" w:color="auto"/>
              <w:bottom w:val="nil"/>
              <w:right w:val="nil"/>
            </w:tcBorders>
            <w:shd w:val="clear" w:color="auto" w:fill="auto"/>
            <w:vAlign w:val="bottom"/>
          </w:tcPr>
          <w:p w14:paraId="2521AA36" w14:textId="3DC83E61" w:rsidR="00E42A54" w:rsidRPr="00E42A54" w:rsidRDefault="00E42A54" w:rsidP="00127F44">
            <w:pPr>
              <w:pStyle w:val="NoSpacing"/>
              <w:tabs>
                <w:tab w:val="decimal" w:pos="591"/>
              </w:tabs>
              <w:rPr>
                <w:color w:val="000000"/>
                <w:szCs w:val="24"/>
              </w:rPr>
            </w:pPr>
            <w:r w:rsidRPr="00E42A54">
              <w:rPr>
                <w:color w:val="000000"/>
                <w:szCs w:val="24"/>
              </w:rPr>
              <w:t>7.57</w:t>
            </w:r>
          </w:p>
        </w:tc>
        <w:tc>
          <w:tcPr>
            <w:tcW w:w="1243" w:type="dxa"/>
            <w:tcBorders>
              <w:top w:val="single" w:sz="4" w:space="0" w:color="auto"/>
              <w:bottom w:val="nil"/>
              <w:right w:val="nil"/>
            </w:tcBorders>
            <w:vAlign w:val="bottom"/>
          </w:tcPr>
          <w:p w14:paraId="4B0034C1" w14:textId="5C065B22" w:rsidR="00E42A54" w:rsidRPr="00E42A54" w:rsidRDefault="00E42A54" w:rsidP="00127F44">
            <w:pPr>
              <w:pStyle w:val="NoSpacing"/>
              <w:tabs>
                <w:tab w:val="decimal" w:pos="574"/>
              </w:tabs>
              <w:rPr>
                <w:color w:val="000000"/>
                <w:szCs w:val="24"/>
              </w:rPr>
            </w:pPr>
            <w:r w:rsidRPr="00E42A54">
              <w:rPr>
                <w:color w:val="000000"/>
                <w:szCs w:val="24"/>
              </w:rPr>
              <w:t>1.75</w:t>
            </w:r>
          </w:p>
        </w:tc>
        <w:tc>
          <w:tcPr>
            <w:tcW w:w="1363" w:type="dxa"/>
            <w:tcBorders>
              <w:top w:val="single" w:sz="4" w:space="0" w:color="auto"/>
              <w:left w:val="nil"/>
              <w:bottom w:val="nil"/>
              <w:right w:val="nil"/>
            </w:tcBorders>
            <w:shd w:val="clear" w:color="auto" w:fill="auto"/>
            <w:noWrap/>
            <w:vAlign w:val="bottom"/>
            <w:hideMark/>
          </w:tcPr>
          <w:p w14:paraId="718DCF76" w14:textId="0970E4A5" w:rsidR="00E42A54" w:rsidRPr="00E42A54" w:rsidRDefault="00E42A54" w:rsidP="00127F44">
            <w:pPr>
              <w:pStyle w:val="NoSpacing"/>
              <w:tabs>
                <w:tab w:val="decimal" w:pos="531"/>
              </w:tabs>
              <w:rPr>
                <w:color w:val="000000"/>
                <w:szCs w:val="24"/>
              </w:rPr>
            </w:pPr>
            <w:r w:rsidRPr="00E42A54">
              <w:rPr>
                <w:color w:val="000000"/>
                <w:szCs w:val="24"/>
              </w:rPr>
              <w:t>2.90</w:t>
            </w:r>
          </w:p>
        </w:tc>
        <w:tc>
          <w:tcPr>
            <w:tcW w:w="1363" w:type="dxa"/>
            <w:tcBorders>
              <w:top w:val="single" w:sz="4" w:space="0" w:color="auto"/>
              <w:left w:val="nil"/>
              <w:bottom w:val="nil"/>
              <w:right w:val="nil"/>
            </w:tcBorders>
            <w:shd w:val="clear" w:color="auto" w:fill="auto"/>
            <w:noWrap/>
            <w:vAlign w:val="bottom"/>
            <w:hideMark/>
          </w:tcPr>
          <w:p w14:paraId="4CDE2F5B" w14:textId="77777777" w:rsidR="00E42A54" w:rsidRPr="00E42A54" w:rsidRDefault="00E42A54" w:rsidP="00127F44">
            <w:pPr>
              <w:pStyle w:val="NoSpacing"/>
              <w:tabs>
                <w:tab w:val="decimal" w:pos="550"/>
              </w:tabs>
              <w:rPr>
                <w:color w:val="000000"/>
                <w:szCs w:val="24"/>
              </w:rPr>
            </w:pPr>
            <w:r w:rsidRPr="00E42A54">
              <w:rPr>
                <w:color w:val="000000"/>
                <w:szCs w:val="24"/>
              </w:rPr>
              <w:t>9.92</w:t>
            </w:r>
          </w:p>
        </w:tc>
      </w:tr>
      <w:tr w:rsidR="00E42A54" w:rsidRPr="007A5260" w14:paraId="1DE324CB" w14:textId="77777777" w:rsidTr="00E42A54">
        <w:trPr>
          <w:trHeight w:val="300"/>
          <w:jc w:val="center"/>
        </w:trPr>
        <w:tc>
          <w:tcPr>
            <w:tcW w:w="1603" w:type="dxa"/>
            <w:tcBorders>
              <w:top w:val="nil"/>
              <w:left w:val="nil"/>
              <w:bottom w:val="nil"/>
              <w:right w:val="single" w:sz="4" w:space="0" w:color="auto"/>
            </w:tcBorders>
            <w:shd w:val="clear" w:color="auto" w:fill="auto"/>
            <w:noWrap/>
            <w:vAlign w:val="bottom"/>
            <w:hideMark/>
          </w:tcPr>
          <w:p w14:paraId="585EC513" w14:textId="77777777" w:rsidR="00E42A54" w:rsidRPr="00E42A54" w:rsidRDefault="00E42A54" w:rsidP="00E42A54">
            <w:pPr>
              <w:pStyle w:val="NoSpacing"/>
              <w:rPr>
                <w:color w:val="000000"/>
                <w:szCs w:val="24"/>
              </w:rPr>
            </w:pPr>
            <w:r w:rsidRPr="00E42A54">
              <w:rPr>
                <w:color w:val="000000"/>
                <w:szCs w:val="24"/>
              </w:rPr>
              <w:t>Quarter</w:t>
            </w:r>
          </w:p>
        </w:tc>
        <w:tc>
          <w:tcPr>
            <w:tcW w:w="1243" w:type="dxa"/>
            <w:tcBorders>
              <w:top w:val="nil"/>
              <w:left w:val="nil"/>
              <w:bottom w:val="nil"/>
            </w:tcBorders>
            <w:shd w:val="clear" w:color="auto" w:fill="auto"/>
            <w:noWrap/>
            <w:vAlign w:val="bottom"/>
            <w:hideMark/>
          </w:tcPr>
          <w:p w14:paraId="1D80E665" w14:textId="77777777" w:rsidR="00E42A54" w:rsidRPr="00E42A54" w:rsidRDefault="00E42A54" w:rsidP="00127F44">
            <w:pPr>
              <w:pStyle w:val="NoSpacing"/>
              <w:tabs>
                <w:tab w:val="decimal" w:pos="501"/>
              </w:tabs>
              <w:rPr>
                <w:color w:val="000000"/>
                <w:szCs w:val="24"/>
              </w:rPr>
            </w:pPr>
            <w:r w:rsidRPr="00E42A54">
              <w:rPr>
                <w:color w:val="000000"/>
                <w:szCs w:val="24"/>
              </w:rPr>
              <w:t>2.61</w:t>
            </w:r>
          </w:p>
        </w:tc>
        <w:tc>
          <w:tcPr>
            <w:tcW w:w="2109" w:type="dxa"/>
            <w:tcBorders>
              <w:top w:val="nil"/>
              <w:bottom w:val="nil"/>
              <w:right w:val="nil"/>
            </w:tcBorders>
            <w:shd w:val="clear" w:color="auto" w:fill="auto"/>
            <w:vAlign w:val="bottom"/>
          </w:tcPr>
          <w:p w14:paraId="5FB94300" w14:textId="460DF285" w:rsidR="00E42A54" w:rsidRPr="00E42A54" w:rsidRDefault="00E42A54" w:rsidP="00127F44">
            <w:pPr>
              <w:pStyle w:val="NoSpacing"/>
              <w:tabs>
                <w:tab w:val="decimal" w:pos="591"/>
              </w:tabs>
              <w:rPr>
                <w:color w:val="000000"/>
                <w:szCs w:val="24"/>
              </w:rPr>
            </w:pPr>
            <w:r w:rsidRPr="00E42A54">
              <w:rPr>
                <w:color w:val="000000"/>
                <w:szCs w:val="24"/>
              </w:rPr>
              <w:t>1.92</w:t>
            </w:r>
          </w:p>
        </w:tc>
        <w:tc>
          <w:tcPr>
            <w:tcW w:w="1243" w:type="dxa"/>
            <w:tcBorders>
              <w:top w:val="nil"/>
              <w:bottom w:val="nil"/>
              <w:right w:val="nil"/>
            </w:tcBorders>
            <w:vAlign w:val="bottom"/>
          </w:tcPr>
          <w:p w14:paraId="02AD015E" w14:textId="7AE30635" w:rsidR="00E42A54" w:rsidRPr="00E42A54" w:rsidRDefault="00E42A54" w:rsidP="00127F44">
            <w:pPr>
              <w:pStyle w:val="NoSpacing"/>
              <w:tabs>
                <w:tab w:val="decimal" w:pos="574"/>
              </w:tabs>
              <w:rPr>
                <w:color w:val="000000"/>
                <w:szCs w:val="24"/>
              </w:rPr>
            </w:pPr>
            <w:r w:rsidRPr="00E42A54">
              <w:rPr>
                <w:color w:val="000000"/>
                <w:szCs w:val="24"/>
              </w:rPr>
              <w:t>11.78</w:t>
            </w:r>
          </w:p>
        </w:tc>
        <w:tc>
          <w:tcPr>
            <w:tcW w:w="1363" w:type="dxa"/>
            <w:tcBorders>
              <w:top w:val="nil"/>
              <w:left w:val="nil"/>
              <w:bottom w:val="nil"/>
              <w:right w:val="nil"/>
            </w:tcBorders>
            <w:shd w:val="clear" w:color="auto" w:fill="auto"/>
            <w:noWrap/>
            <w:vAlign w:val="bottom"/>
            <w:hideMark/>
          </w:tcPr>
          <w:p w14:paraId="751362D1" w14:textId="61F4AD66" w:rsidR="00E42A54" w:rsidRPr="00E42A54" w:rsidRDefault="00E42A54" w:rsidP="00127F44">
            <w:pPr>
              <w:pStyle w:val="NoSpacing"/>
              <w:tabs>
                <w:tab w:val="decimal" w:pos="531"/>
              </w:tabs>
              <w:rPr>
                <w:color w:val="000000"/>
                <w:szCs w:val="24"/>
              </w:rPr>
            </w:pPr>
            <w:r w:rsidRPr="00E42A54">
              <w:rPr>
                <w:color w:val="000000"/>
                <w:szCs w:val="24"/>
              </w:rPr>
              <w:t>7.37</w:t>
            </w:r>
          </w:p>
        </w:tc>
        <w:tc>
          <w:tcPr>
            <w:tcW w:w="1363" w:type="dxa"/>
            <w:tcBorders>
              <w:top w:val="nil"/>
              <w:left w:val="nil"/>
              <w:bottom w:val="nil"/>
              <w:right w:val="nil"/>
            </w:tcBorders>
            <w:shd w:val="clear" w:color="auto" w:fill="auto"/>
            <w:noWrap/>
            <w:vAlign w:val="bottom"/>
            <w:hideMark/>
          </w:tcPr>
          <w:p w14:paraId="65237F9A" w14:textId="77777777" w:rsidR="00E42A54" w:rsidRPr="00E42A54" w:rsidRDefault="00E42A54" w:rsidP="00127F44">
            <w:pPr>
              <w:pStyle w:val="NoSpacing"/>
              <w:tabs>
                <w:tab w:val="decimal" w:pos="550"/>
              </w:tabs>
              <w:rPr>
                <w:color w:val="000000"/>
                <w:szCs w:val="24"/>
              </w:rPr>
            </w:pPr>
            <w:r w:rsidRPr="00E42A54">
              <w:rPr>
                <w:color w:val="000000"/>
                <w:szCs w:val="24"/>
              </w:rPr>
              <w:t>4.76</w:t>
            </w:r>
          </w:p>
        </w:tc>
      </w:tr>
      <w:tr w:rsidR="00E42A54" w:rsidRPr="007A5260" w14:paraId="420A67A9" w14:textId="77777777" w:rsidTr="00E42A54">
        <w:trPr>
          <w:trHeight w:val="300"/>
          <w:jc w:val="center"/>
        </w:trPr>
        <w:tc>
          <w:tcPr>
            <w:tcW w:w="1603" w:type="dxa"/>
            <w:tcBorders>
              <w:top w:val="nil"/>
              <w:left w:val="nil"/>
              <w:bottom w:val="nil"/>
              <w:right w:val="single" w:sz="4" w:space="0" w:color="auto"/>
            </w:tcBorders>
            <w:shd w:val="clear" w:color="auto" w:fill="auto"/>
            <w:noWrap/>
            <w:vAlign w:val="bottom"/>
            <w:hideMark/>
          </w:tcPr>
          <w:p w14:paraId="2E073E2A" w14:textId="77777777" w:rsidR="00E42A54" w:rsidRPr="00E42A54" w:rsidRDefault="00E42A54" w:rsidP="00E42A54">
            <w:pPr>
              <w:pStyle w:val="NoSpacing"/>
              <w:rPr>
                <w:color w:val="000000"/>
                <w:szCs w:val="24"/>
              </w:rPr>
            </w:pPr>
            <w:r w:rsidRPr="00E42A54">
              <w:rPr>
                <w:color w:val="000000"/>
                <w:szCs w:val="24"/>
              </w:rPr>
              <w:t>HPF</w:t>
            </w:r>
          </w:p>
        </w:tc>
        <w:tc>
          <w:tcPr>
            <w:tcW w:w="1243" w:type="dxa"/>
            <w:tcBorders>
              <w:top w:val="nil"/>
              <w:left w:val="nil"/>
              <w:bottom w:val="nil"/>
            </w:tcBorders>
            <w:shd w:val="clear" w:color="auto" w:fill="auto"/>
            <w:noWrap/>
            <w:vAlign w:val="bottom"/>
            <w:hideMark/>
          </w:tcPr>
          <w:p w14:paraId="02FC3DAB" w14:textId="77777777" w:rsidR="00E42A54" w:rsidRPr="00E42A54" w:rsidRDefault="00E42A54" w:rsidP="00127F44">
            <w:pPr>
              <w:pStyle w:val="NoSpacing"/>
              <w:tabs>
                <w:tab w:val="decimal" w:pos="501"/>
              </w:tabs>
              <w:rPr>
                <w:color w:val="000000"/>
                <w:szCs w:val="24"/>
              </w:rPr>
            </w:pPr>
            <w:r w:rsidRPr="00E42A54">
              <w:rPr>
                <w:color w:val="000000"/>
                <w:szCs w:val="24"/>
              </w:rPr>
              <w:t>0.41</w:t>
            </w:r>
          </w:p>
        </w:tc>
        <w:tc>
          <w:tcPr>
            <w:tcW w:w="2109" w:type="dxa"/>
            <w:tcBorders>
              <w:top w:val="nil"/>
              <w:bottom w:val="nil"/>
              <w:right w:val="nil"/>
            </w:tcBorders>
            <w:shd w:val="clear" w:color="auto" w:fill="auto"/>
            <w:vAlign w:val="bottom"/>
          </w:tcPr>
          <w:p w14:paraId="46CEADAD" w14:textId="201DA5A5" w:rsidR="00E42A54" w:rsidRPr="00E42A54" w:rsidRDefault="00E42A54" w:rsidP="00127F44">
            <w:pPr>
              <w:pStyle w:val="NoSpacing"/>
              <w:tabs>
                <w:tab w:val="decimal" w:pos="591"/>
              </w:tabs>
              <w:rPr>
                <w:color w:val="000000"/>
                <w:szCs w:val="24"/>
              </w:rPr>
            </w:pPr>
            <w:r w:rsidRPr="00E42A54">
              <w:rPr>
                <w:color w:val="000000"/>
                <w:szCs w:val="24"/>
              </w:rPr>
              <w:t>6.81</w:t>
            </w:r>
          </w:p>
        </w:tc>
        <w:tc>
          <w:tcPr>
            <w:tcW w:w="1243" w:type="dxa"/>
            <w:tcBorders>
              <w:top w:val="nil"/>
              <w:bottom w:val="nil"/>
              <w:right w:val="nil"/>
            </w:tcBorders>
            <w:vAlign w:val="bottom"/>
          </w:tcPr>
          <w:p w14:paraId="008D96B3" w14:textId="72721DCE" w:rsidR="00E42A54" w:rsidRPr="00E42A54" w:rsidRDefault="00E42A54" w:rsidP="00127F44">
            <w:pPr>
              <w:pStyle w:val="NoSpacing"/>
              <w:tabs>
                <w:tab w:val="decimal" w:pos="574"/>
              </w:tabs>
              <w:rPr>
                <w:color w:val="000000"/>
                <w:szCs w:val="24"/>
              </w:rPr>
            </w:pPr>
            <w:r w:rsidRPr="00E42A54">
              <w:rPr>
                <w:color w:val="000000"/>
                <w:szCs w:val="24"/>
              </w:rPr>
              <w:t>17.42</w:t>
            </w:r>
          </w:p>
        </w:tc>
        <w:tc>
          <w:tcPr>
            <w:tcW w:w="1363" w:type="dxa"/>
            <w:tcBorders>
              <w:top w:val="nil"/>
              <w:left w:val="nil"/>
              <w:bottom w:val="nil"/>
              <w:right w:val="nil"/>
            </w:tcBorders>
            <w:shd w:val="clear" w:color="auto" w:fill="auto"/>
            <w:noWrap/>
            <w:vAlign w:val="bottom"/>
            <w:hideMark/>
          </w:tcPr>
          <w:p w14:paraId="21D68152" w14:textId="421A286C" w:rsidR="00E42A54" w:rsidRPr="00E42A54" w:rsidRDefault="00E42A54" w:rsidP="00127F44">
            <w:pPr>
              <w:pStyle w:val="NoSpacing"/>
              <w:tabs>
                <w:tab w:val="decimal" w:pos="531"/>
              </w:tabs>
              <w:rPr>
                <w:color w:val="000000"/>
                <w:szCs w:val="24"/>
              </w:rPr>
            </w:pPr>
            <w:r w:rsidRPr="00E42A54">
              <w:rPr>
                <w:color w:val="000000"/>
                <w:szCs w:val="24"/>
              </w:rPr>
              <w:t>11.72</w:t>
            </w:r>
          </w:p>
        </w:tc>
        <w:tc>
          <w:tcPr>
            <w:tcW w:w="1363" w:type="dxa"/>
            <w:tcBorders>
              <w:top w:val="nil"/>
              <w:left w:val="nil"/>
              <w:bottom w:val="nil"/>
              <w:right w:val="nil"/>
            </w:tcBorders>
            <w:shd w:val="clear" w:color="auto" w:fill="auto"/>
            <w:noWrap/>
            <w:vAlign w:val="bottom"/>
            <w:hideMark/>
          </w:tcPr>
          <w:p w14:paraId="57B47C1E" w14:textId="77777777" w:rsidR="00E42A54" w:rsidRPr="00E42A54" w:rsidRDefault="00E42A54" w:rsidP="00127F44">
            <w:pPr>
              <w:pStyle w:val="NoSpacing"/>
              <w:tabs>
                <w:tab w:val="decimal" w:pos="550"/>
              </w:tabs>
              <w:rPr>
                <w:color w:val="000000"/>
                <w:szCs w:val="24"/>
              </w:rPr>
            </w:pPr>
            <w:r w:rsidRPr="00E42A54">
              <w:rPr>
                <w:color w:val="000000"/>
                <w:szCs w:val="24"/>
              </w:rPr>
              <w:t>5.14</w:t>
            </w:r>
          </w:p>
        </w:tc>
      </w:tr>
      <w:tr w:rsidR="00E42A54" w:rsidRPr="007A5260" w14:paraId="4B351858" w14:textId="77777777" w:rsidTr="00E42A54">
        <w:trPr>
          <w:trHeight w:val="300"/>
          <w:jc w:val="center"/>
        </w:trPr>
        <w:tc>
          <w:tcPr>
            <w:tcW w:w="1603" w:type="dxa"/>
            <w:tcBorders>
              <w:top w:val="nil"/>
              <w:left w:val="nil"/>
              <w:bottom w:val="nil"/>
              <w:right w:val="single" w:sz="4" w:space="0" w:color="auto"/>
            </w:tcBorders>
            <w:shd w:val="clear" w:color="auto" w:fill="auto"/>
            <w:noWrap/>
            <w:vAlign w:val="bottom"/>
            <w:hideMark/>
          </w:tcPr>
          <w:p w14:paraId="2437934A" w14:textId="77777777" w:rsidR="00E42A54" w:rsidRPr="00E42A54" w:rsidRDefault="00E42A54" w:rsidP="00E42A54">
            <w:pPr>
              <w:pStyle w:val="NoSpacing"/>
              <w:rPr>
                <w:color w:val="000000"/>
                <w:szCs w:val="24"/>
              </w:rPr>
            </w:pPr>
            <w:r w:rsidRPr="00E42A54">
              <w:rPr>
                <w:color w:val="000000"/>
                <w:szCs w:val="24"/>
              </w:rPr>
              <w:t>Bait</w:t>
            </w:r>
          </w:p>
        </w:tc>
        <w:tc>
          <w:tcPr>
            <w:tcW w:w="1243" w:type="dxa"/>
            <w:tcBorders>
              <w:top w:val="nil"/>
              <w:left w:val="nil"/>
              <w:bottom w:val="nil"/>
            </w:tcBorders>
            <w:shd w:val="clear" w:color="auto" w:fill="auto"/>
            <w:noWrap/>
            <w:vAlign w:val="bottom"/>
            <w:hideMark/>
          </w:tcPr>
          <w:p w14:paraId="237C1334" w14:textId="77777777" w:rsidR="00E42A54" w:rsidRPr="00E42A54" w:rsidRDefault="00E42A54" w:rsidP="00127F44">
            <w:pPr>
              <w:pStyle w:val="NoSpacing"/>
              <w:tabs>
                <w:tab w:val="decimal" w:pos="501"/>
              </w:tabs>
              <w:rPr>
                <w:color w:val="000000"/>
                <w:szCs w:val="24"/>
              </w:rPr>
            </w:pPr>
            <w:r w:rsidRPr="00E42A54">
              <w:rPr>
                <w:color w:val="000000"/>
                <w:szCs w:val="24"/>
              </w:rPr>
              <w:t>0.23</w:t>
            </w:r>
          </w:p>
        </w:tc>
        <w:tc>
          <w:tcPr>
            <w:tcW w:w="2109" w:type="dxa"/>
            <w:tcBorders>
              <w:top w:val="nil"/>
              <w:bottom w:val="nil"/>
              <w:right w:val="nil"/>
            </w:tcBorders>
            <w:shd w:val="clear" w:color="auto" w:fill="auto"/>
            <w:vAlign w:val="bottom"/>
          </w:tcPr>
          <w:p w14:paraId="7CADFCF0" w14:textId="2C686FCD" w:rsidR="00E42A54" w:rsidRPr="00E42A54" w:rsidRDefault="00E42A54" w:rsidP="00127F44">
            <w:pPr>
              <w:pStyle w:val="NoSpacing"/>
              <w:tabs>
                <w:tab w:val="decimal" w:pos="591"/>
              </w:tabs>
              <w:rPr>
                <w:color w:val="000000"/>
                <w:szCs w:val="24"/>
              </w:rPr>
            </w:pPr>
            <w:r w:rsidRPr="00E42A54">
              <w:rPr>
                <w:color w:val="000000"/>
                <w:szCs w:val="24"/>
              </w:rPr>
              <w:t>6.79</w:t>
            </w:r>
          </w:p>
        </w:tc>
        <w:tc>
          <w:tcPr>
            <w:tcW w:w="1243" w:type="dxa"/>
            <w:tcBorders>
              <w:top w:val="nil"/>
              <w:bottom w:val="nil"/>
              <w:right w:val="nil"/>
            </w:tcBorders>
            <w:vAlign w:val="bottom"/>
          </w:tcPr>
          <w:p w14:paraId="3756F9E4" w14:textId="1EEE6019" w:rsidR="00E42A54" w:rsidRPr="00E42A54" w:rsidRDefault="00E42A54" w:rsidP="00127F44">
            <w:pPr>
              <w:pStyle w:val="NoSpacing"/>
              <w:tabs>
                <w:tab w:val="decimal" w:pos="574"/>
              </w:tabs>
              <w:rPr>
                <w:color w:val="000000"/>
                <w:szCs w:val="24"/>
              </w:rPr>
            </w:pPr>
            <w:r w:rsidRPr="00E42A54">
              <w:rPr>
                <w:color w:val="000000"/>
                <w:szCs w:val="24"/>
              </w:rPr>
              <w:t>6.95</w:t>
            </w:r>
          </w:p>
        </w:tc>
        <w:tc>
          <w:tcPr>
            <w:tcW w:w="1363" w:type="dxa"/>
            <w:tcBorders>
              <w:top w:val="nil"/>
              <w:left w:val="nil"/>
              <w:bottom w:val="nil"/>
              <w:right w:val="nil"/>
            </w:tcBorders>
            <w:shd w:val="clear" w:color="auto" w:fill="auto"/>
            <w:noWrap/>
            <w:vAlign w:val="bottom"/>
            <w:hideMark/>
          </w:tcPr>
          <w:p w14:paraId="69F96764" w14:textId="52DB04E0" w:rsidR="00E42A54" w:rsidRPr="00E42A54" w:rsidRDefault="00E42A54" w:rsidP="00127F44">
            <w:pPr>
              <w:pStyle w:val="NoSpacing"/>
              <w:tabs>
                <w:tab w:val="decimal" w:pos="531"/>
              </w:tabs>
              <w:rPr>
                <w:color w:val="000000"/>
                <w:szCs w:val="24"/>
              </w:rPr>
            </w:pPr>
            <w:r w:rsidRPr="00E42A54">
              <w:rPr>
                <w:color w:val="000000"/>
                <w:szCs w:val="24"/>
              </w:rPr>
              <w:t>0.81</w:t>
            </w:r>
          </w:p>
        </w:tc>
        <w:tc>
          <w:tcPr>
            <w:tcW w:w="1363" w:type="dxa"/>
            <w:tcBorders>
              <w:top w:val="nil"/>
              <w:left w:val="nil"/>
              <w:bottom w:val="nil"/>
              <w:right w:val="nil"/>
            </w:tcBorders>
            <w:shd w:val="clear" w:color="auto" w:fill="auto"/>
            <w:noWrap/>
            <w:vAlign w:val="bottom"/>
            <w:hideMark/>
          </w:tcPr>
          <w:p w14:paraId="467D2D06" w14:textId="77777777" w:rsidR="00E42A54" w:rsidRPr="00E42A54" w:rsidRDefault="00E42A54" w:rsidP="00127F44">
            <w:pPr>
              <w:pStyle w:val="NoSpacing"/>
              <w:tabs>
                <w:tab w:val="decimal" w:pos="550"/>
              </w:tabs>
              <w:rPr>
                <w:color w:val="000000"/>
                <w:szCs w:val="24"/>
              </w:rPr>
            </w:pPr>
            <w:r w:rsidRPr="00E42A54">
              <w:rPr>
                <w:color w:val="000000"/>
                <w:szCs w:val="24"/>
              </w:rPr>
              <w:t>0.22</w:t>
            </w:r>
          </w:p>
        </w:tc>
      </w:tr>
      <w:tr w:rsidR="00E42A54" w:rsidRPr="007A5260" w14:paraId="174301B7" w14:textId="77777777" w:rsidTr="00E42A54">
        <w:trPr>
          <w:trHeight w:val="300"/>
          <w:jc w:val="center"/>
        </w:trPr>
        <w:tc>
          <w:tcPr>
            <w:tcW w:w="1603" w:type="dxa"/>
            <w:tcBorders>
              <w:top w:val="nil"/>
              <w:left w:val="nil"/>
              <w:bottom w:val="nil"/>
              <w:right w:val="single" w:sz="4" w:space="0" w:color="auto"/>
            </w:tcBorders>
            <w:shd w:val="clear" w:color="auto" w:fill="auto"/>
            <w:noWrap/>
            <w:vAlign w:val="bottom"/>
            <w:hideMark/>
          </w:tcPr>
          <w:p w14:paraId="4EF3C7A7" w14:textId="77777777" w:rsidR="00E42A54" w:rsidRPr="00E42A54" w:rsidRDefault="00E42A54" w:rsidP="00E42A54">
            <w:pPr>
              <w:pStyle w:val="NoSpacing"/>
              <w:rPr>
                <w:color w:val="000000"/>
                <w:szCs w:val="24"/>
              </w:rPr>
            </w:pPr>
            <w:r w:rsidRPr="00E42A54">
              <w:rPr>
                <w:color w:val="000000"/>
                <w:szCs w:val="24"/>
              </w:rPr>
              <w:t>Begin</w:t>
            </w:r>
          </w:p>
        </w:tc>
        <w:tc>
          <w:tcPr>
            <w:tcW w:w="1243" w:type="dxa"/>
            <w:tcBorders>
              <w:top w:val="nil"/>
              <w:left w:val="nil"/>
              <w:bottom w:val="nil"/>
            </w:tcBorders>
            <w:shd w:val="clear" w:color="auto" w:fill="auto"/>
            <w:noWrap/>
            <w:vAlign w:val="bottom"/>
            <w:hideMark/>
          </w:tcPr>
          <w:p w14:paraId="0732CEE0" w14:textId="77777777" w:rsidR="00E42A54" w:rsidRPr="00E42A54" w:rsidRDefault="00E42A54" w:rsidP="00127F44">
            <w:pPr>
              <w:pStyle w:val="NoSpacing"/>
              <w:tabs>
                <w:tab w:val="decimal" w:pos="501"/>
              </w:tabs>
              <w:rPr>
                <w:color w:val="000000"/>
                <w:szCs w:val="24"/>
              </w:rPr>
            </w:pPr>
            <w:r w:rsidRPr="00E42A54">
              <w:rPr>
                <w:color w:val="000000"/>
                <w:szCs w:val="24"/>
              </w:rPr>
              <w:t>0.10</w:t>
            </w:r>
          </w:p>
        </w:tc>
        <w:tc>
          <w:tcPr>
            <w:tcW w:w="2109" w:type="dxa"/>
            <w:tcBorders>
              <w:top w:val="nil"/>
              <w:bottom w:val="nil"/>
              <w:right w:val="nil"/>
            </w:tcBorders>
            <w:shd w:val="clear" w:color="auto" w:fill="auto"/>
            <w:vAlign w:val="bottom"/>
          </w:tcPr>
          <w:p w14:paraId="1E1C4639" w14:textId="3D95E28A" w:rsidR="00E42A54" w:rsidRPr="00E42A54" w:rsidRDefault="00E42A54" w:rsidP="00127F44">
            <w:pPr>
              <w:pStyle w:val="NoSpacing"/>
              <w:tabs>
                <w:tab w:val="decimal" w:pos="591"/>
              </w:tabs>
              <w:rPr>
                <w:color w:val="000000"/>
                <w:szCs w:val="24"/>
              </w:rPr>
            </w:pPr>
            <w:r w:rsidRPr="00E42A54">
              <w:rPr>
                <w:color w:val="000000"/>
                <w:szCs w:val="24"/>
              </w:rPr>
              <w:t>5.92</w:t>
            </w:r>
          </w:p>
        </w:tc>
        <w:tc>
          <w:tcPr>
            <w:tcW w:w="1243" w:type="dxa"/>
            <w:tcBorders>
              <w:top w:val="nil"/>
              <w:bottom w:val="nil"/>
              <w:right w:val="nil"/>
            </w:tcBorders>
            <w:vAlign w:val="bottom"/>
          </w:tcPr>
          <w:p w14:paraId="64817758" w14:textId="39E96717" w:rsidR="00E42A54" w:rsidRPr="00E42A54" w:rsidRDefault="00E42A54" w:rsidP="00127F44">
            <w:pPr>
              <w:pStyle w:val="NoSpacing"/>
              <w:tabs>
                <w:tab w:val="decimal" w:pos="574"/>
              </w:tabs>
              <w:rPr>
                <w:color w:val="000000"/>
                <w:szCs w:val="24"/>
              </w:rPr>
            </w:pPr>
            <w:r w:rsidRPr="00E42A54">
              <w:rPr>
                <w:color w:val="000000"/>
                <w:szCs w:val="24"/>
              </w:rPr>
              <w:t>26.97</w:t>
            </w:r>
          </w:p>
        </w:tc>
        <w:tc>
          <w:tcPr>
            <w:tcW w:w="1363" w:type="dxa"/>
            <w:tcBorders>
              <w:top w:val="nil"/>
              <w:left w:val="nil"/>
              <w:bottom w:val="nil"/>
              <w:right w:val="nil"/>
            </w:tcBorders>
            <w:shd w:val="clear" w:color="auto" w:fill="auto"/>
            <w:noWrap/>
            <w:vAlign w:val="bottom"/>
            <w:hideMark/>
          </w:tcPr>
          <w:p w14:paraId="43372C89" w14:textId="1EBD7014" w:rsidR="00E42A54" w:rsidRPr="00E42A54" w:rsidRDefault="00E42A54" w:rsidP="00127F44">
            <w:pPr>
              <w:pStyle w:val="NoSpacing"/>
              <w:tabs>
                <w:tab w:val="decimal" w:pos="531"/>
              </w:tabs>
              <w:rPr>
                <w:color w:val="000000"/>
                <w:szCs w:val="24"/>
              </w:rPr>
            </w:pPr>
            <w:r w:rsidRPr="00E42A54">
              <w:rPr>
                <w:color w:val="000000"/>
                <w:szCs w:val="24"/>
              </w:rPr>
              <w:t>8.58</w:t>
            </w:r>
          </w:p>
        </w:tc>
        <w:tc>
          <w:tcPr>
            <w:tcW w:w="1363" w:type="dxa"/>
            <w:tcBorders>
              <w:top w:val="nil"/>
              <w:left w:val="nil"/>
              <w:bottom w:val="nil"/>
              <w:right w:val="nil"/>
            </w:tcBorders>
            <w:shd w:val="clear" w:color="auto" w:fill="auto"/>
            <w:noWrap/>
            <w:vAlign w:val="bottom"/>
            <w:hideMark/>
          </w:tcPr>
          <w:p w14:paraId="3E7B323C" w14:textId="77777777" w:rsidR="00E42A54" w:rsidRPr="00E42A54" w:rsidRDefault="00E42A54" w:rsidP="00127F44">
            <w:pPr>
              <w:pStyle w:val="NoSpacing"/>
              <w:tabs>
                <w:tab w:val="decimal" w:pos="550"/>
              </w:tabs>
              <w:rPr>
                <w:color w:val="000000"/>
                <w:szCs w:val="24"/>
              </w:rPr>
            </w:pPr>
            <w:r w:rsidRPr="00E42A54">
              <w:rPr>
                <w:color w:val="000000"/>
                <w:szCs w:val="24"/>
              </w:rPr>
              <w:t>0.13</w:t>
            </w:r>
          </w:p>
        </w:tc>
      </w:tr>
      <w:tr w:rsidR="00E42A54" w:rsidRPr="007A5260" w14:paraId="201C38BA" w14:textId="77777777" w:rsidTr="00E42A54">
        <w:trPr>
          <w:trHeight w:val="300"/>
          <w:jc w:val="center"/>
        </w:trPr>
        <w:tc>
          <w:tcPr>
            <w:tcW w:w="1603" w:type="dxa"/>
            <w:tcBorders>
              <w:top w:val="nil"/>
              <w:left w:val="nil"/>
              <w:bottom w:val="nil"/>
              <w:right w:val="single" w:sz="4" w:space="0" w:color="auto"/>
            </w:tcBorders>
            <w:shd w:val="clear" w:color="auto" w:fill="auto"/>
            <w:noWrap/>
            <w:vAlign w:val="bottom"/>
            <w:hideMark/>
          </w:tcPr>
          <w:p w14:paraId="00A57BC3" w14:textId="77777777" w:rsidR="00E42A54" w:rsidRPr="00E42A54" w:rsidRDefault="00E42A54" w:rsidP="00E42A54">
            <w:pPr>
              <w:pStyle w:val="NoSpacing"/>
              <w:rPr>
                <w:color w:val="000000"/>
                <w:szCs w:val="24"/>
              </w:rPr>
            </w:pPr>
            <w:r w:rsidRPr="00E42A54">
              <w:rPr>
                <w:color w:val="000000"/>
                <w:szCs w:val="24"/>
              </w:rPr>
              <w:t>SST</w:t>
            </w:r>
          </w:p>
        </w:tc>
        <w:tc>
          <w:tcPr>
            <w:tcW w:w="1243" w:type="dxa"/>
            <w:tcBorders>
              <w:top w:val="nil"/>
              <w:left w:val="nil"/>
              <w:bottom w:val="nil"/>
            </w:tcBorders>
            <w:shd w:val="clear" w:color="auto" w:fill="auto"/>
            <w:noWrap/>
            <w:vAlign w:val="bottom"/>
            <w:hideMark/>
          </w:tcPr>
          <w:p w14:paraId="2468EBFD" w14:textId="77777777" w:rsidR="00E42A54" w:rsidRPr="00E42A54" w:rsidRDefault="00E42A54" w:rsidP="00127F44">
            <w:pPr>
              <w:pStyle w:val="NoSpacing"/>
              <w:tabs>
                <w:tab w:val="decimal" w:pos="501"/>
              </w:tabs>
              <w:rPr>
                <w:color w:val="000000"/>
                <w:szCs w:val="24"/>
              </w:rPr>
            </w:pPr>
            <w:r w:rsidRPr="00E42A54">
              <w:rPr>
                <w:color w:val="000000"/>
                <w:szCs w:val="24"/>
              </w:rPr>
              <w:t>0.35</w:t>
            </w:r>
          </w:p>
        </w:tc>
        <w:tc>
          <w:tcPr>
            <w:tcW w:w="2109" w:type="dxa"/>
            <w:tcBorders>
              <w:top w:val="nil"/>
              <w:bottom w:val="nil"/>
              <w:right w:val="nil"/>
            </w:tcBorders>
            <w:shd w:val="clear" w:color="auto" w:fill="auto"/>
            <w:vAlign w:val="bottom"/>
          </w:tcPr>
          <w:p w14:paraId="5B5B4525" w14:textId="3A20A485" w:rsidR="00E42A54" w:rsidRPr="00E42A54" w:rsidRDefault="00E42A54" w:rsidP="00127F44">
            <w:pPr>
              <w:pStyle w:val="NoSpacing"/>
              <w:tabs>
                <w:tab w:val="decimal" w:pos="591"/>
              </w:tabs>
              <w:rPr>
                <w:color w:val="000000"/>
                <w:szCs w:val="24"/>
              </w:rPr>
            </w:pPr>
            <w:r w:rsidRPr="00E42A54">
              <w:rPr>
                <w:color w:val="000000"/>
                <w:szCs w:val="24"/>
              </w:rPr>
              <w:t>0.06</w:t>
            </w:r>
          </w:p>
        </w:tc>
        <w:tc>
          <w:tcPr>
            <w:tcW w:w="1243" w:type="dxa"/>
            <w:tcBorders>
              <w:top w:val="nil"/>
              <w:bottom w:val="nil"/>
              <w:right w:val="nil"/>
            </w:tcBorders>
            <w:vAlign w:val="bottom"/>
          </w:tcPr>
          <w:p w14:paraId="1CB719FD" w14:textId="4A24A62F" w:rsidR="00E42A54" w:rsidRPr="00E42A54" w:rsidRDefault="00E42A54" w:rsidP="00127F44">
            <w:pPr>
              <w:pStyle w:val="NoSpacing"/>
              <w:tabs>
                <w:tab w:val="decimal" w:pos="574"/>
              </w:tabs>
              <w:rPr>
                <w:color w:val="000000"/>
                <w:szCs w:val="24"/>
              </w:rPr>
            </w:pPr>
            <w:r w:rsidRPr="00E42A54">
              <w:rPr>
                <w:color w:val="000000"/>
                <w:szCs w:val="24"/>
              </w:rPr>
              <w:t>5.39</w:t>
            </w:r>
          </w:p>
        </w:tc>
        <w:tc>
          <w:tcPr>
            <w:tcW w:w="1363" w:type="dxa"/>
            <w:tcBorders>
              <w:top w:val="nil"/>
              <w:left w:val="nil"/>
              <w:bottom w:val="nil"/>
              <w:right w:val="nil"/>
            </w:tcBorders>
            <w:shd w:val="clear" w:color="auto" w:fill="auto"/>
            <w:noWrap/>
            <w:vAlign w:val="bottom"/>
            <w:hideMark/>
          </w:tcPr>
          <w:p w14:paraId="68321C9A" w14:textId="55CC6121" w:rsidR="00E42A54" w:rsidRPr="00E42A54" w:rsidRDefault="00E42A54" w:rsidP="00127F44">
            <w:pPr>
              <w:pStyle w:val="NoSpacing"/>
              <w:tabs>
                <w:tab w:val="decimal" w:pos="531"/>
              </w:tabs>
              <w:rPr>
                <w:color w:val="000000"/>
                <w:szCs w:val="24"/>
              </w:rPr>
            </w:pPr>
            <w:r w:rsidRPr="00E42A54">
              <w:rPr>
                <w:color w:val="000000"/>
                <w:szCs w:val="24"/>
              </w:rPr>
              <w:t>5.91</w:t>
            </w:r>
          </w:p>
        </w:tc>
        <w:tc>
          <w:tcPr>
            <w:tcW w:w="1363" w:type="dxa"/>
            <w:tcBorders>
              <w:top w:val="nil"/>
              <w:left w:val="nil"/>
              <w:bottom w:val="nil"/>
              <w:right w:val="nil"/>
            </w:tcBorders>
            <w:shd w:val="clear" w:color="auto" w:fill="auto"/>
            <w:noWrap/>
            <w:vAlign w:val="bottom"/>
            <w:hideMark/>
          </w:tcPr>
          <w:p w14:paraId="038BAA98" w14:textId="77777777" w:rsidR="00E42A54" w:rsidRPr="00E42A54" w:rsidRDefault="00E42A54" w:rsidP="00127F44">
            <w:pPr>
              <w:pStyle w:val="NoSpacing"/>
              <w:tabs>
                <w:tab w:val="decimal" w:pos="550"/>
              </w:tabs>
              <w:rPr>
                <w:color w:val="000000"/>
                <w:szCs w:val="24"/>
              </w:rPr>
            </w:pPr>
            <w:r w:rsidRPr="00E42A54">
              <w:rPr>
                <w:color w:val="000000"/>
                <w:szCs w:val="24"/>
              </w:rPr>
              <w:t>2.19</w:t>
            </w:r>
          </w:p>
        </w:tc>
      </w:tr>
      <w:tr w:rsidR="00E42A54" w:rsidRPr="007A5260" w14:paraId="03C028F5" w14:textId="77777777" w:rsidTr="00E42A54">
        <w:trPr>
          <w:trHeight w:val="300"/>
          <w:jc w:val="center"/>
        </w:trPr>
        <w:tc>
          <w:tcPr>
            <w:tcW w:w="1603" w:type="dxa"/>
            <w:tcBorders>
              <w:top w:val="nil"/>
              <w:left w:val="nil"/>
              <w:bottom w:val="nil"/>
              <w:right w:val="single" w:sz="4" w:space="0" w:color="auto"/>
            </w:tcBorders>
            <w:shd w:val="clear" w:color="auto" w:fill="auto"/>
            <w:noWrap/>
            <w:vAlign w:val="bottom"/>
            <w:hideMark/>
          </w:tcPr>
          <w:p w14:paraId="75B8F130" w14:textId="77777777" w:rsidR="00E42A54" w:rsidRPr="00E42A54" w:rsidRDefault="00E42A54" w:rsidP="00E42A54">
            <w:pPr>
              <w:pStyle w:val="NoSpacing"/>
              <w:rPr>
                <w:color w:val="000000"/>
                <w:szCs w:val="24"/>
              </w:rPr>
            </w:pPr>
            <w:r w:rsidRPr="00E42A54">
              <w:rPr>
                <w:color w:val="000000"/>
                <w:szCs w:val="24"/>
              </w:rPr>
              <w:t>MLD</w:t>
            </w:r>
          </w:p>
        </w:tc>
        <w:tc>
          <w:tcPr>
            <w:tcW w:w="1243" w:type="dxa"/>
            <w:tcBorders>
              <w:top w:val="nil"/>
              <w:left w:val="nil"/>
              <w:bottom w:val="nil"/>
            </w:tcBorders>
            <w:shd w:val="clear" w:color="auto" w:fill="auto"/>
            <w:noWrap/>
            <w:vAlign w:val="bottom"/>
            <w:hideMark/>
          </w:tcPr>
          <w:p w14:paraId="360EE055" w14:textId="77777777" w:rsidR="00E42A54" w:rsidRPr="00E42A54" w:rsidRDefault="00E42A54" w:rsidP="00127F44">
            <w:pPr>
              <w:pStyle w:val="NoSpacing"/>
              <w:tabs>
                <w:tab w:val="decimal" w:pos="501"/>
              </w:tabs>
              <w:rPr>
                <w:color w:val="000000"/>
                <w:szCs w:val="24"/>
              </w:rPr>
            </w:pPr>
            <w:r w:rsidRPr="00E42A54">
              <w:rPr>
                <w:color w:val="000000"/>
                <w:szCs w:val="24"/>
              </w:rPr>
              <w:t>0.76</w:t>
            </w:r>
          </w:p>
        </w:tc>
        <w:tc>
          <w:tcPr>
            <w:tcW w:w="2109" w:type="dxa"/>
            <w:tcBorders>
              <w:top w:val="nil"/>
              <w:bottom w:val="nil"/>
              <w:right w:val="nil"/>
            </w:tcBorders>
            <w:shd w:val="clear" w:color="auto" w:fill="auto"/>
            <w:vAlign w:val="bottom"/>
          </w:tcPr>
          <w:p w14:paraId="4419516C" w14:textId="11545ABC" w:rsidR="00E42A54" w:rsidRPr="00E42A54" w:rsidRDefault="00E42A54" w:rsidP="00127F44">
            <w:pPr>
              <w:pStyle w:val="NoSpacing"/>
              <w:tabs>
                <w:tab w:val="decimal" w:pos="591"/>
              </w:tabs>
              <w:rPr>
                <w:color w:val="000000"/>
                <w:szCs w:val="24"/>
              </w:rPr>
            </w:pPr>
            <w:r w:rsidRPr="00E42A54">
              <w:rPr>
                <w:color w:val="000000"/>
                <w:szCs w:val="24"/>
              </w:rPr>
              <w:t>0.33</w:t>
            </w:r>
          </w:p>
        </w:tc>
        <w:tc>
          <w:tcPr>
            <w:tcW w:w="1243" w:type="dxa"/>
            <w:tcBorders>
              <w:top w:val="nil"/>
              <w:bottom w:val="nil"/>
              <w:right w:val="nil"/>
            </w:tcBorders>
            <w:vAlign w:val="bottom"/>
          </w:tcPr>
          <w:p w14:paraId="6237B849" w14:textId="7B084831" w:rsidR="00E42A54" w:rsidRPr="00E42A54" w:rsidRDefault="00E42A54" w:rsidP="00127F44">
            <w:pPr>
              <w:pStyle w:val="NoSpacing"/>
              <w:tabs>
                <w:tab w:val="decimal" w:pos="574"/>
              </w:tabs>
              <w:rPr>
                <w:color w:val="000000"/>
                <w:szCs w:val="24"/>
              </w:rPr>
            </w:pPr>
            <w:r w:rsidRPr="00E42A54">
              <w:rPr>
                <w:color w:val="000000"/>
                <w:szCs w:val="24"/>
              </w:rPr>
              <w:t>0.31</w:t>
            </w:r>
          </w:p>
        </w:tc>
        <w:tc>
          <w:tcPr>
            <w:tcW w:w="1363" w:type="dxa"/>
            <w:tcBorders>
              <w:top w:val="nil"/>
              <w:left w:val="nil"/>
              <w:bottom w:val="nil"/>
              <w:right w:val="nil"/>
            </w:tcBorders>
            <w:shd w:val="clear" w:color="auto" w:fill="auto"/>
            <w:noWrap/>
            <w:vAlign w:val="bottom"/>
            <w:hideMark/>
          </w:tcPr>
          <w:p w14:paraId="73C0E375" w14:textId="376CC113" w:rsidR="00E42A54" w:rsidRPr="00E42A54" w:rsidRDefault="00E42A54" w:rsidP="00127F44">
            <w:pPr>
              <w:pStyle w:val="NoSpacing"/>
              <w:tabs>
                <w:tab w:val="decimal" w:pos="531"/>
              </w:tabs>
              <w:rPr>
                <w:color w:val="000000"/>
                <w:szCs w:val="24"/>
              </w:rPr>
            </w:pPr>
            <w:r w:rsidRPr="00E42A54">
              <w:rPr>
                <w:color w:val="000000"/>
                <w:szCs w:val="24"/>
              </w:rPr>
              <w:t>0.37</w:t>
            </w:r>
          </w:p>
        </w:tc>
        <w:tc>
          <w:tcPr>
            <w:tcW w:w="1363" w:type="dxa"/>
            <w:tcBorders>
              <w:top w:val="nil"/>
              <w:left w:val="nil"/>
              <w:bottom w:val="nil"/>
              <w:right w:val="nil"/>
            </w:tcBorders>
            <w:shd w:val="clear" w:color="auto" w:fill="auto"/>
            <w:noWrap/>
            <w:vAlign w:val="bottom"/>
            <w:hideMark/>
          </w:tcPr>
          <w:p w14:paraId="2513CD85" w14:textId="77777777" w:rsidR="00E42A54" w:rsidRPr="00E42A54" w:rsidRDefault="00E42A54" w:rsidP="00127F44">
            <w:pPr>
              <w:pStyle w:val="NoSpacing"/>
              <w:tabs>
                <w:tab w:val="decimal" w:pos="550"/>
              </w:tabs>
              <w:rPr>
                <w:color w:val="000000"/>
                <w:szCs w:val="24"/>
              </w:rPr>
            </w:pPr>
            <w:r w:rsidRPr="00E42A54">
              <w:rPr>
                <w:color w:val="000000"/>
                <w:szCs w:val="24"/>
              </w:rPr>
              <w:t>1.89</w:t>
            </w:r>
          </w:p>
        </w:tc>
      </w:tr>
      <w:tr w:rsidR="00E42A54" w:rsidRPr="007A5260" w14:paraId="5497AE8A" w14:textId="77777777" w:rsidTr="00E42A54">
        <w:trPr>
          <w:trHeight w:val="300"/>
          <w:jc w:val="center"/>
        </w:trPr>
        <w:tc>
          <w:tcPr>
            <w:tcW w:w="1603" w:type="dxa"/>
            <w:tcBorders>
              <w:top w:val="nil"/>
              <w:left w:val="nil"/>
              <w:bottom w:val="nil"/>
              <w:right w:val="single" w:sz="4" w:space="0" w:color="auto"/>
            </w:tcBorders>
            <w:shd w:val="clear" w:color="auto" w:fill="auto"/>
            <w:noWrap/>
            <w:vAlign w:val="bottom"/>
            <w:hideMark/>
          </w:tcPr>
          <w:p w14:paraId="7DEFF6F9" w14:textId="77777777" w:rsidR="00E42A54" w:rsidRPr="00E42A54" w:rsidRDefault="00E42A54" w:rsidP="00E42A54">
            <w:pPr>
              <w:pStyle w:val="NoSpacing"/>
              <w:rPr>
                <w:color w:val="000000"/>
                <w:szCs w:val="24"/>
              </w:rPr>
            </w:pPr>
            <w:r w:rsidRPr="00E42A54">
              <w:rPr>
                <w:color w:val="000000"/>
                <w:szCs w:val="24"/>
              </w:rPr>
              <w:t>Illum</w:t>
            </w:r>
          </w:p>
        </w:tc>
        <w:tc>
          <w:tcPr>
            <w:tcW w:w="1243" w:type="dxa"/>
            <w:tcBorders>
              <w:top w:val="nil"/>
              <w:left w:val="nil"/>
              <w:bottom w:val="nil"/>
            </w:tcBorders>
            <w:shd w:val="clear" w:color="auto" w:fill="auto"/>
            <w:noWrap/>
            <w:vAlign w:val="bottom"/>
            <w:hideMark/>
          </w:tcPr>
          <w:p w14:paraId="0684900B" w14:textId="77777777" w:rsidR="00E42A54" w:rsidRPr="00E42A54" w:rsidRDefault="00E42A54" w:rsidP="00127F44">
            <w:pPr>
              <w:pStyle w:val="NoSpacing"/>
              <w:tabs>
                <w:tab w:val="decimal" w:pos="501"/>
              </w:tabs>
              <w:rPr>
                <w:color w:val="000000"/>
                <w:szCs w:val="24"/>
              </w:rPr>
            </w:pPr>
            <w:r w:rsidRPr="00E42A54">
              <w:rPr>
                <w:color w:val="000000"/>
                <w:szCs w:val="24"/>
              </w:rPr>
              <w:t>0.07</w:t>
            </w:r>
          </w:p>
        </w:tc>
        <w:tc>
          <w:tcPr>
            <w:tcW w:w="2109" w:type="dxa"/>
            <w:tcBorders>
              <w:top w:val="nil"/>
              <w:bottom w:val="nil"/>
              <w:right w:val="nil"/>
            </w:tcBorders>
            <w:shd w:val="clear" w:color="auto" w:fill="auto"/>
            <w:vAlign w:val="bottom"/>
          </w:tcPr>
          <w:p w14:paraId="5BA8282F" w14:textId="6C299EA8" w:rsidR="00E42A54" w:rsidRPr="00E42A54" w:rsidRDefault="00E42A54" w:rsidP="00127F44">
            <w:pPr>
              <w:pStyle w:val="NoSpacing"/>
              <w:tabs>
                <w:tab w:val="decimal" w:pos="591"/>
              </w:tabs>
              <w:rPr>
                <w:color w:val="000000"/>
                <w:szCs w:val="24"/>
              </w:rPr>
            </w:pPr>
            <w:r w:rsidRPr="00E42A54">
              <w:rPr>
                <w:color w:val="000000"/>
                <w:szCs w:val="24"/>
              </w:rPr>
              <w:t>0.02</w:t>
            </w:r>
          </w:p>
        </w:tc>
        <w:tc>
          <w:tcPr>
            <w:tcW w:w="1243" w:type="dxa"/>
            <w:tcBorders>
              <w:top w:val="nil"/>
              <w:bottom w:val="nil"/>
              <w:right w:val="nil"/>
            </w:tcBorders>
            <w:vAlign w:val="bottom"/>
          </w:tcPr>
          <w:p w14:paraId="08B07748" w14:textId="07C667F4" w:rsidR="00E42A54" w:rsidRPr="00E42A54" w:rsidRDefault="00E42A54" w:rsidP="00127F44">
            <w:pPr>
              <w:pStyle w:val="NoSpacing"/>
              <w:tabs>
                <w:tab w:val="decimal" w:pos="574"/>
              </w:tabs>
              <w:rPr>
                <w:color w:val="000000"/>
                <w:szCs w:val="24"/>
              </w:rPr>
            </w:pPr>
            <w:r w:rsidRPr="00E42A54">
              <w:rPr>
                <w:color w:val="000000"/>
                <w:szCs w:val="24"/>
              </w:rPr>
              <w:t>1.33</w:t>
            </w:r>
          </w:p>
        </w:tc>
        <w:tc>
          <w:tcPr>
            <w:tcW w:w="1363" w:type="dxa"/>
            <w:tcBorders>
              <w:top w:val="nil"/>
              <w:left w:val="nil"/>
              <w:bottom w:val="nil"/>
              <w:right w:val="nil"/>
            </w:tcBorders>
            <w:shd w:val="clear" w:color="auto" w:fill="auto"/>
            <w:noWrap/>
            <w:vAlign w:val="bottom"/>
            <w:hideMark/>
          </w:tcPr>
          <w:p w14:paraId="26969BFD" w14:textId="0EA5C62D" w:rsidR="00E42A54" w:rsidRPr="00E42A54" w:rsidRDefault="00E42A54" w:rsidP="00127F44">
            <w:pPr>
              <w:pStyle w:val="NoSpacing"/>
              <w:tabs>
                <w:tab w:val="decimal" w:pos="531"/>
              </w:tabs>
              <w:rPr>
                <w:color w:val="000000"/>
                <w:szCs w:val="24"/>
              </w:rPr>
            </w:pPr>
            <w:r w:rsidRPr="00E42A54">
              <w:rPr>
                <w:color w:val="000000"/>
                <w:szCs w:val="24"/>
              </w:rPr>
              <w:t>1.43</w:t>
            </w:r>
          </w:p>
        </w:tc>
        <w:tc>
          <w:tcPr>
            <w:tcW w:w="1363" w:type="dxa"/>
            <w:tcBorders>
              <w:top w:val="nil"/>
              <w:left w:val="nil"/>
              <w:bottom w:val="nil"/>
              <w:right w:val="nil"/>
            </w:tcBorders>
            <w:shd w:val="clear" w:color="auto" w:fill="auto"/>
            <w:noWrap/>
            <w:vAlign w:val="bottom"/>
            <w:hideMark/>
          </w:tcPr>
          <w:p w14:paraId="22027D8F" w14:textId="77777777" w:rsidR="00E42A54" w:rsidRPr="00E42A54" w:rsidRDefault="00E42A54" w:rsidP="00127F44">
            <w:pPr>
              <w:pStyle w:val="NoSpacing"/>
              <w:tabs>
                <w:tab w:val="decimal" w:pos="550"/>
              </w:tabs>
              <w:rPr>
                <w:color w:val="000000"/>
                <w:szCs w:val="24"/>
              </w:rPr>
            </w:pPr>
            <w:r w:rsidRPr="00E42A54">
              <w:rPr>
                <w:color w:val="000000"/>
                <w:szCs w:val="24"/>
              </w:rPr>
              <w:t>9.88</w:t>
            </w:r>
          </w:p>
        </w:tc>
      </w:tr>
      <w:tr w:rsidR="00E42A54" w:rsidRPr="007A5260" w14:paraId="0D19C049" w14:textId="77777777" w:rsidTr="00E42A54">
        <w:trPr>
          <w:trHeight w:val="300"/>
          <w:jc w:val="center"/>
        </w:trPr>
        <w:tc>
          <w:tcPr>
            <w:tcW w:w="1603" w:type="dxa"/>
            <w:tcBorders>
              <w:top w:val="nil"/>
              <w:left w:val="nil"/>
              <w:bottom w:val="nil"/>
              <w:right w:val="single" w:sz="4" w:space="0" w:color="auto"/>
            </w:tcBorders>
            <w:shd w:val="clear" w:color="auto" w:fill="auto"/>
            <w:noWrap/>
            <w:vAlign w:val="bottom"/>
            <w:hideMark/>
          </w:tcPr>
          <w:p w14:paraId="5A0FCAEF" w14:textId="77777777" w:rsidR="00E42A54" w:rsidRPr="00E42A54" w:rsidRDefault="00E42A54" w:rsidP="00E42A54">
            <w:pPr>
              <w:pStyle w:val="NoSpacing"/>
              <w:rPr>
                <w:color w:val="000000"/>
                <w:szCs w:val="24"/>
              </w:rPr>
            </w:pPr>
            <w:r w:rsidRPr="00E42A54">
              <w:rPr>
                <w:color w:val="000000"/>
                <w:szCs w:val="24"/>
              </w:rPr>
              <w:t>Lat</w:t>
            </w:r>
          </w:p>
        </w:tc>
        <w:tc>
          <w:tcPr>
            <w:tcW w:w="1243" w:type="dxa"/>
            <w:tcBorders>
              <w:top w:val="nil"/>
              <w:left w:val="nil"/>
              <w:bottom w:val="nil"/>
            </w:tcBorders>
            <w:shd w:val="clear" w:color="auto" w:fill="auto"/>
            <w:noWrap/>
            <w:vAlign w:val="bottom"/>
            <w:hideMark/>
          </w:tcPr>
          <w:p w14:paraId="4ACE1976" w14:textId="77777777" w:rsidR="00E42A54" w:rsidRPr="00E42A54" w:rsidRDefault="00E42A54" w:rsidP="00127F44">
            <w:pPr>
              <w:pStyle w:val="NoSpacing"/>
              <w:tabs>
                <w:tab w:val="decimal" w:pos="501"/>
              </w:tabs>
              <w:rPr>
                <w:color w:val="000000"/>
                <w:szCs w:val="24"/>
              </w:rPr>
            </w:pPr>
            <w:r w:rsidRPr="00E42A54">
              <w:rPr>
                <w:color w:val="000000"/>
                <w:szCs w:val="24"/>
              </w:rPr>
              <w:t>0.25</w:t>
            </w:r>
          </w:p>
        </w:tc>
        <w:tc>
          <w:tcPr>
            <w:tcW w:w="2109" w:type="dxa"/>
            <w:tcBorders>
              <w:top w:val="nil"/>
              <w:bottom w:val="nil"/>
              <w:right w:val="nil"/>
            </w:tcBorders>
            <w:shd w:val="clear" w:color="auto" w:fill="auto"/>
            <w:vAlign w:val="bottom"/>
          </w:tcPr>
          <w:p w14:paraId="5DA55294" w14:textId="13B8945C" w:rsidR="00E42A54" w:rsidRPr="00E42A54" w:rsidRDefault="00E42A54" w:rsidP="00127F44">
            <w:pPr>
              <w:pStyle w:val="NoSpacing"/>
              <w:tabs>
                <w:tab w:val="decimal" w:pos="591"/>
              </w:tabs>
              <w:rPr>
                <w:color w:val="000000"/>
                <w:szCs w:val="24"/>
              </w:rPr>
            </w:pPr>
            <w:r w:rsidRPr="00E42A54">
              <w:rPr>
                <w:color w:val="000000"/>
                <w:szCs w:val="24"/>
              </w:rPr>
              <w:t>0.32</w:t>
            </w:r>
          </w:p>
        </w:tc>
        <w:tc>
          <w:tcPr>
            <w:tcW w:w="1243" w:type="dxa"/>
            <w:tcBorders>
              <w:top w:val="nil"/>
              <w:bottom w:val="nil"/>
              <w:right w:val="nil"/>
            </w:tcBorders>
            <w:vAlign w:val="bottom"/>
          </w:tcPr>
          <w:p w14:paraId="50930852" w14:textId="618EC1B2" w:rsidR="00E42A54" w:rsidRPr="00E42A54" w:rsidRDefault="00E42A54" w:rsidP="00127F44">
            <w:pPr>
              <w:pStyle w:val="NoSpacing"/>
              <w:tabs>
                <w:tab w:val="decimal" w:pos="574"/>
              </w:tabs>
              <w:rPr>
                <w:color w:val="000000"/>
                <w:szCs w:val="24"/>
              </w:rPr>
            </w:pPr>
            <w:r w:rsidRPr="00E42A54">
              <w:rPr>
                <w:color w:val="000000"/>
                <w:szCs w:val="24"/>
              </w:rPr>
              <w:t>28.05</w:t>
            </w:r>
          </w:p>
        </w:tc>
        <w:tc>
          <w:tcPr>
            <w:tcW w:w="1363" w:type="dxa"/>
            <w:tcBorders>
              <w:top w:val="nil"/>
              <w:left w:val="nil"/>
              <w:bottom w:val="nil"/>
              <w:right w:val="nil"/>
            </w:tcBorders>
            <w:shd w:val="clear" w:color="auto" w:fill="auto"/>
            <w:noWrap/>
            <w:vAlign w:val="bottom"/>
            <w:hideMark/>
          </w:tcPr>
          <w:p w14:paraId="5FB3AC8A" w14:textId="74DCAAD8" w:rsidR="00E42A54" w:rsidRPr="00E42A54" w:rsidRDefault="00E42A54" w:rsidP="00127F44">
            <w:pPr>
              <w:pStyle w:val="NoSpacing"/>
              <w:tabs>
                <w:tab w:val="decimal" w:pos="531"/>
              </w:tabs>
              <w:rPr>
                <w:color w:val="000000"/>
                <w:szCs w:val="24"/>
              </w:rPr>
            </w:pPr>
            <w:r w:rsidRPr="00E42A54">
              <w:rPr>
                <w:color w:val="000000"/>
                <w:szCs w:val="24"/>
              </w:rPr>
              <w:t>15.25</w:t>
            </w:r>
          </w:p>
        </w:tc>
        <w:tc>
          <w:tcPr>
            <w:tcW w:w="1363" w:type="dxa"/>
            <w:tcBorders>
              <w:top w:val="nil"/>
              <w:left w:val="nil"/>
              <w:bottom w:val="nil"/>
              <w:right w:val="nil"/>
            </w:tcBorders>
            <w:shd w:val="clear" w:color="auto" w:fill="auto"/>
            <w:noWrap/>
            <w:vAlign w:val="bottom"/>
            <w:hideMark/>
          </w:tcPr>
          <w:p w14:paraId="12CAE757" w14:textId="77777777" w:rsidR="00E42A54" w:rsidRPr="00E42A54" w:rsidRDefault="00E42A54" w:rsidP="00127F44">
            <w:pPr>
              <w:pStyle w:val="NoSpacing"/>
              <w:tabs>
                <w:tab w:val="decimal" w:pos="550"/>
              </w:tabs>
              <w:rPr>
                <w:color w:val="000000"/>
                <w:szCs w:val="24"/>
              </w:rPr>
            </w:pPr>
            <w:r w:rsidRPr="00E42A54">
              <w:rPr>
                <w:color w:val="000000"/>
                <w:szCs w:val="24"/>
              </w:rPr>
              <w:t>1.61</w:t>
            </w:r>
          </w:p>
        </w:tc>
      </w:tr>
      <w:tr w:rsidR="00E42A54" w:rsidRPr="007A5260" w14:paraId="7430A04A" w14:textId="77777777" w:rsidTr="00E42A54">
        <w:trPr>
          <w:trHeight w:val="300"/>
          <w:jc w:val="center"/>
        </w:trPr>
        <w:tc>
          <w:tcPr>
            <w:tcW w:w="1603" w:type="dxa"/>
            <w:tcBorders>
              <w:top w:val="nil"/>
              <w:left w:val="nil"/>
              <w:bottom w:val="nil"/>
              <w:right w:val="single" w:sz="4" w:space="0" w:color="auto"/>
            </w:tcBorders>
            <w:shd w:val="clear" w:color="auto" w:fill="auto"/>
            <w:noWrap/>
            <w:vAlign w:val="bottom"/>
            <w:hideMark/>
          </w:tcPr>
          <w:p w14:paraId="2FF27588" w14:textId="77777777" w:rsidR="00E42A54" w:rsidRPr="00E42A54" w:rsidRDefault="00E42A54" w:rsidP="00E42A54">
            <w:pPr>
              <w:pStyle w:val="NoSpacing"/>
              <w:rPr>
                <w:color w:val="000000"/>
                <w:szCs w:val="24"/>
              </w:rPr>
            </w:pPr>
            <w:r w:rsidRPr="00E42A54">
              <w:rPr>
                <w:color w:val="000000"/>
                <w:szCs w:val="24"/>
              </w:rPr>
              <w:t>Lon</w:t>
            </w:r>
          </w:p>
        </w:tc>
        <w:tc>
          <w:tcPr>
            <w:tcW w:w="1243" w:type="dxa"/>
            <w:tcBorders>
              <w:top w:val="nil"/>
              <w:left w:val="nil"/>
              <w:bottom w:val="nil"/>
            </w:tcBorders>
            <w:shd w:val="clear" w:color="auto" w:fill="auto"/>
            <w:noWrap/>
            <w:vAlign w:val="bottom"/>
            <w:hideMark/>
          </w:tcPr>
          <w:p w14:paraId="51961D81" w14:textId="77777777" w:rsidR="00E42A54" w:rsidRPr="00E42A54" w:rsidRDefault="00E42A54" w:rsidP="00127F44">
            <w:pPr>
              <w:pStyle w:val="NoSpacing"/>
              <w:tabs>
                <w:tab w:val="decimal" w:pos="501"/>
              </w:tabs>
              <w:rPr>
                <w:color w:val="000000"/>
                <w:szCs w:val="24"/>
              </w:rPr>
            </w:pPr>
            <w:r w:rsidRPr="00E42A54">
              <w:rPr>
                <w:color w:val="000000"/>
                <w:szCs w:val="24"/>
              </w:rPr>
              <w:t>0.04</w:t>
            </w:r>
          </w:p>
        </w:tc>
        <w:tc>
          <w:tcPr>
            <w:tcW w:w="2109" w:type="dxa"/>
            <w:tcBorders>
              <w:top w:val="nil"/>
              <w:bottom w:val="nil"/>
              <w:right w:val="nil"/>
            </w:tcBorders>
            <w:shd w:val="clear" w:color="auto" w:fill="auto"/>
            <w:vAlign w:val="bottom"/>
          </w:tcPr>
          <w:p w14:paraId="6E4D0150" w14:textId="2B2054AE" w:rsidR="00E42A54" w:rsidRPr="00E42A54" w:rsidRDefault="00E42A54" w:rsidP="00127F44">
            <w:pPr>
              <w:pStyle w:val="NoSpacing"/>
              <w:tabs>
                <w:tab w:val="decimal" w:pos="591"/>
              </w:tabs>
              <w:rPr>
                <w:color w:val="000000"/>
                <w:szCs w:val="24"/>
              </w:rPr>
            </w:pPr>
            <w:r w:rsidRPr="00E42A54">
              <w:rPr>
                <w:color w:val="000000"/>
                <w:szCs w:val="24"/>
              </w:rPr>
              <w:t>0.85</w:t>
            </w:r>
          </w:p>
        </w:tc>
        <w:tc>
          <w:tcPr>
            <w:tcW w:w="1243" w:type="dxa"/>
            <w:tcBorders>
              <w:top w:val="nil"/>
              <w:bottom w:val="nil"/>
              <w:right w:val="nil"/>
            </w:tcBorders>
            <w:vAlign w:val="bottom"/>
          </w:tcPr>
          <w:p w14:paraId="756D8132" w14:textId="3CA9C37F" w:rsidR="00E42A54" w:rsidRPr="00E42A54" w:rsidRDefault="00E42A54" w:rsidP="00127F44">
            <w:pPr>
              <w:pStyle w:val="NoSpacing"/>
              <w:tabs>
                <w:tab w:val="decimal" w:pos="574"/>
              </w:tabs>
              <w:rPr>
                <w:color w:val="000000"/>
                <w:szCs w:val="24"/>
              </w:rPr>
            </w:pPr>
            <w:r w:rsidRPr="00E42A54">
              <w:rPr>
                <w:color w:val="000000"/>
                <w:szCs w:val="24"/>
              </w:rPr>
              <w:t>0.19</w:t>
            </w:r>
          </w:p>
        </w:tc>
        <w:tc>
          <w:tcPr>
            <w:tcW w:w="1363" w:type="dxa"/>
            <w:tcBorders>
              <w:top w:val="nil"/>
              <w:left w:val="nil"/>
              <w:bottom w:val="nil"/>
              <w:right w:val="nil"/>
            </w:tcBorders>
            <w:shd w:val="clear" w:color="auto" w:fill="auto"/>
            <w:noWrap/>
            <w:vAlign w:val="bottom"/>
            <w:hideMark/>
          </w:tcPr>
          <w:p w14:paraId="06F6B708" w14:textId="33B30257" w:rsidR="00E42A54" w:rsidRPr="00E42A54" w:rsidRDefault="00E42A54" w:rsidP="00127F44">
            <w:pPr>
              <w:pStyle w:val="NoSpacing"/>
              <w:tabs>
                <w:tab w:val="decimal" w:pos="531"/>
              </w:tabs>
              <w:rPr>
                <w:color w:val="000000"/>
                <w:szCs w:val="24"/>
              </w:rPr>
            </w:pPr>
            <w:r w:rsidRPr="00E42A54">
              <w:rPr>
                <w:color w:val="000000"/>
                <w:szCs w:val="24"/>
              </w:rPr>
              <w:t>0.20</w:t>
            </w:r>
          </w:p>
        </w:tc>
        <w:tc>
          <w:tcPr>
            <w:tcW w:w="1363" w:type="dxa"/>
            <w:tcBorders>
              <w:top w:val="nil"/>
              <w:left w:val="nil"/>
              <w:bottom w:val="nil"/>
              <w:right w:val="nil"/>
            </w:tcBorders>
            <w:shd w:val="clear" w:color="auto" w:fill="auto"/>
            <w:noWrap/>
            <w:vAlign w:val="bottom"/>
            <w:hideMark/>
          </w:tcPr>
          <w:p w14:paraId="25FCF430" w14:textId="77777777" w:rsidR="00E42A54" w:rsidRPr="00E42A54" w:rsidRDefault="00E42A54" w:rsidP="00127F44">
            <w:pPr>
              <w:pStyle w:val="NoSpacing"/>
              <w:tabs>
                <w:tab w:val="decimal" w:pos="550"/>
              </w:tabs>
              <w:rPr>
                <w:color w:val="000000"/>
                <w:szCs w:val="24"/>
              </w:rPr>
            </w:pPr>
            <w:r w:rsidRPr="00E42A54">
              <w:rPr>
                <w:color w:val="000000"/>
                <w:szCs w:val="24"/>
              </w:rPr>
              <w:t>0.04</w:t>
            </w:r>
          </w:p>
        </w:tc>
      </w:tr>
      <w:tr w:rsidR="00E42A54" w:rsidRPr="007A5260" w14:paraId="5712E46C" w14:textId="77777777" w:rsidTr="00E42A54">
        <w:trPr>
          <w:trHeight w:val="300"/>
          <w:jc w:val="center"/>
        </w:trPr>
        <w:tc>
          <w:tcPr>
            <w:tcW w:w="1603" w:type="dxa"/>
            <w:tcBorders>
              <w:top w:val="nil"/>
              <w:left w:val="nil"/>
              <w:bottom w:val="nil"/>
              <w:right w:val="single" w:sz="4" w:space="0" w:color="auto"/>
            </w:tcBorders>
            <w:shd w:val="clear" w:color="auto" w:fill="auto"/>
            <w:noWrap/>
            <w:vAlign w:val="bottom"/>
            <w:hideMark/>
          </w:tcPr>
          <w:p w14:paraId="08822255" w14:textId="77777777" w:rsidR="00E42A54" w:rsidRPr="00E42A54" w:rsidRDefault="00E42A54" w:rsidP="00E42A54">
            <w:pPr>
              <w:pStyle w:val="NoSpacing"/>
              <w:rPr>
                <w:color w:val="000000"/>
                <w:szCs w:val="24"/>
              </w:rPr>
            </w:pPr>
            <w:r w:rsidRPr="00E42A54">
              <w:rPr>
                <w:color w:val="000000"/>
                <w:szCs w:val="24"/>
              </w:rPr>
              <w:t>HPSet</w:t>
            </w:r>
          </w:p>
        </w:tc>
        <w:tc>
          <w:tcPr>
            <w:tcW w:w="1243" w:type="dxa"/>
            <w:tcBorders>
              <w:top w:val="nil"/>
              <w:left w:val="nil"/>
              <w:bottom w:val="nil"/>
            </w:tcBorders>
            <w:shd w:val="clear" w:color="auto" w:fill="auto"/>
            <w:noWrap/>
            <w:vAlign w:val="bottom"/>
            <w:hideMark/>
          </w:tcPr>
          <w:p w14:paraId="5BFC372C" w14:textId="77777777" w:rsidR="00E42A54" w:rsidRPr="00E42A54" w:rsidRDefault="00E42A54" w:rsidP="00127F44">
            <w:pPr>
              <w:pStyle w:val="NoSpacing"/>
              <w:tabs>
                <w:tab w:val="decimal" w:pos="501"/>
              </w:tabs>
              <w:rPr>
                <w:color w:val="000000"/>
                <w:szCs w:val="24"/>
              </w:rPr>
            </w:pPr>
            <w:r w:rsidRPr="00E42A54">
              <w:rPr>
                <w:color w:val="000000"/>
                <w:szCs w:val="24"/>
              </w:rPr>
              <w:t>0.96</w:t>
            </w:r>
          </w:p>
        </w:tc>
        <w:tc>
          <w:tcPr>
            <w:tcW w:w="2109" w:type="dxa"/>
            <w:tcBorders>
              <w:top w:val="nil"/>
              <w:bottom w:val="nil"/>
              <w:right w:val="nil"/>
            </w:tcBorders>
            <w:shd w:val="clear" w:color="auto" w:fill="auto"/>
            <w:vAlign w:val="bottom"/>
          </w:tcPr>
          <w:p w14:paraId="5811C0BC" w14:textId="125D6716" w:rsidR="00E42A54" w:rsidRPr="00E42A54" w:rsidRDefault="00E42A54" w:rsidP="00127F44">
            <w:pPr>
              <w:pStyle w:val="NoSpacing"/>
              <w:tabs>
                <w:tab w:val="decimal" w:pos="591"/>
              </w:tabs>
              <w:rPr>
                <w:color w:val="000000"/>
                <w:szCs w:val="24"/>
              </w:rPr>
            </w:pPr>
            <w:r w:rsidRPr="00E42A54">
              <w:rPr>
                <w:color w:val="000000"/>
                <w:szCs w:val="24"/>
              </w:rPr>
              <w:t>26.79</w:t>
            </w:r>
          </w:p>
        </w:tc>
        <w:tc>
          <w:tcPr>
            <w:tcW w:w="1243" w:type="dxa"/>
            <w:tcBorders>
              <w:top w:val="nil"/>
              <w:bottom w:val="nil"/>
              <w:right w:val="nil"/>
            </w:tcBorders>
            <w:vAlign w:val="bottom"/>
          </w:tcPr>
          <w:p w14:paraId="427E64AD" w14:textId="57BDC650" w:rsidR="00E42A54" w:rsidRPr="00E42A54" w:rsidRDefault="00E42A54" w:rsidP="00127F44">
            <w:pPr>
              <w:pStyle w:val="NoSpacing"/>
              <w:tabs>
                <w:tab w:val="decimal" w:pos="574"/>
              </w:tabs>
              <w:rPr>
                <w:color w:val="000000"/>
                <w:szCs w:val="24"/>
              </w:rPr>
            </w:pPr>
            <w:r w:rsidRPr="00E42A54">
              <w:rPr>
                <w:color w:val="000000"/>
                <w:szCs w:val="24"/>
              </w:rPr>
              <w:t>0.62</w:t>
            </w:r>
          </w:p>
        </w:tc>
        <w:tc>
          <w:tcPr>
            <w:tcW w:w="1363" w:type="dxa"/>
            <w:tcBorders>
              <w:top w:val="nil"/>
              <w:left w:val="nil"/>
              <w:bottom w:val="nil"/>
              <w:right w:val="nil"/>
            </w:tcBorders>
            <w:shd w:val="clear" w:color="auto" w:fill="auto"/>
            <w:noWrap/>
            <w:vAlign w:val="bottom"/>
            <w:hideMark/>
          </w:tcPr>
          <w:p w14:paraId="75DD8AA4" w14:textId="050240D8" w:rsidR="00E42A54" w:rsidRPr="00E42A54" w:rsidRDefault="00E42A54" w:rsidP="00127F44">
            <w:pPr>
              <w:pStyle w:val="NoSpacing"/>
              <w:tabs>
                <w:tab w:val="decimal" w:pos="531"/>
              </w:tabs>
              <w:rPr>
                <w:color w:val="000000"/>
                <w:szCs w:val="24"/>
              </w:rPr>
            </w:pPr>
            <w:r w:rsidRPr="00E42A54">
              <w:rPr>
                <w:color w:val="000000"/>
                <w:szCs w:val="24"/>
              </w:rPr>
              <w:t>8.02</w:t>
            </w:r>
          </w:p>
        </w:tc>
        <w:tc>
          <w:tcPr>
            <w:tcW w:w="1363" w:type="dxa"/>
            <w:tcBorders>
              <w:top w:val="nil"/>
              <w:left w:val="nil"/>
              <w:bottom w:val="nil"/>
              <w:right w:val="nil"/>
            </w:tcBorders>
            <w:shd w:val="clear" w:color="auto" w:fill="auto"/>
            <w:noWrap/>
            <w:vAlign w:val="bottom"/>
            <w:hideMark/>
          </w:tcPr>
          <w:p w14:paraId="1BEC6607" w14:textId="77777777" w:rsidR="00E42A54" w:rsidRPr="00E42A54" w:rsidRDefault="00E42A54" w:rsidP="00127F44">
            <w:pPr>
              <w:pStyle w:val="NoSpacing"/>
              <w:tabs>
                <w:tab w:val="decimal" w:pos="550"/>
              </w:tabs>
              <w:rPr>
                <w:color w:val="000000"/>
                <w:szCs w:val="24"/>
              </w:rPr>
            </w:pPr>
            <w:r w:rsidRPr="00E42A54">
              <w:rPr>
                <w:color w:val="000000"/>
                <w:szCs w:val="24"/>
              </w:rPr>
              <w:t>5.02</w:t>
            </w:r>
          </w:p>
        </w:tc>
      </w:tr>
      <w:tr w:rsidR="00E42A54" w:rsidRPr="007A5260" w14:paraId="46DD96D3" w14:textId="77777777" w:rsidTr="00E42A54">
        <w:trPr>
          <w:trHeight w:val="300"/>
          <w:jc w:val="center"/>
        </w:trPr>
        <w:tc>
          <w:tcPr>
            <w:tcW w:w="1603" w:type="dxa"/>
            <w:tcBorders>
              <w:top w:val="nil"/>
              <w:left w:val="nil"/>
              <w:bottom w:val="nil"/>
              <w:right w:val="single" w:sz="4" w:space="0" w:color="auto"/>
            </w:tcBorders>
            <w:shd w:val="clear" w:color="auto" w:fill="auto"/>
            <w:noWrap/>
            <w:vAlign w:val="bottom"/>
            <w:hideMark/>
          </w:tcPr>
          <w:p w14:paraId="0AD1E0D3" w14:textId="77777777" w:rsidR="00E42A54" w:rsidRPr="00E42A54" w:rsidRDefault="00E42A54" w:rsidP="00E42A54">
            <w:pPr>
              <w:pStyle w:val="NoSpacing"/>
              <w:rPr>
                <w:color w:val="000000"/>
                <w:szCs w:val="24"/>
              </w:rPr>
            </w:pPr>
            <w:r w:rsidRPr="00E42A54">
              <w:rPr>
                <w:color w:val="000000"/>
                <w:szCs w:val="24"/>
              </w:rPr>
              <w:t>PDO</w:t>
            </w:r>
          </w:p>
        </w:tc>
        <w:tc>
          <w:tcPr>
            <w:tcW w:w="1243" w:type="dxa"/>
            <w:tcBorders>
              <w:top w:val="nil"/>
              <w:left w:val="nil"/>
              <w:bottom w:val="nil"/>
            </w:tcBorders>
            <w:shd w:val="clear" w:color="auto" w:fill="auto"/>
            <w:noWrap/>
            <w:vAlign w:val="bottom"/>
            <w:hideMark/>
          </w:tcPr>
          <w:p w14:paraId="1EBFD654" w14:textId="77777777" w:rsidR="00E42A54" w:rsidRPr="00E42A54" w:rsidRDefault="00E42A54" w:rsidP="00127F44">
            <w:pPr>
              <w:pStyle w:val="NoSpacing"/>
              <w:tabs>
                <w:tab w:val="decimal" w:pos="501"/>
              </w:tabs>
              <w:rPr>
                <w:color w:val="000000"/>
                <w:szCs w:val="24"/>
              </w:rPr>
            </w:pPr>
            <w:r w:rsidRPr="00E42A54">
              <w:rPr>
                <w:color w:val="000000"/>
                <w:szCs w:val="24"/>
              </w:rPr>
              <w:t>0.08</w:t>
            </w:r>
          </w:p>
        </w:tc>
        <w:tc>
          <w:tcPr>
            <w:tcW w:w="2109" w:type="dxa"/>
            <w:tcBorders>
              <w:top w:val="nil"/>
              <w:bottom w:val="nil"/>
              <w:right w:val="nil"/>
            </w:tcBorders>
            <w:shd w:val="clear" w:color="auto" w:fill="auto"/>
            <w:vAlign w:val="bottom"/>
          </w:tcPr>
          <w:p w14:paraId="0F98A962" w14:textId="24488299" w:rsidR="00E42A54" w:rsidRPr="00E42A54" w:rsidRDefault="00E42A54" w:rsidP="00127F44">
            <w:pPr>
              <w:pStyle w:val="NoSpacing"/>
              <w:tabs>
                <w:tab w:val="decimal" w:pos="591"/>
              </w:tabs>
              <w:rPr>
                <w:color w:val="000000"/>
                <w:szCs w:val="24"/>
              </w:rPr>
            </w:pPr>
            <w:r w:rsidRPr="00E42A54">
              <w:rPr>
                <w:color w:val="000000"/>
                <w:szCs w:val="24"/>
              </w:rPr>
              <w:t>0.01</w:t>
            </w:r>
          </w:p>
        </w:tc>
        <w:tc>
          <w:tcPr>
            <w:tcW w:w="1243" w:type="dxa"/>
            <w:tcBorders>
              <w:top w:val="nil"/>
              <w:bottom w:val="nil"/>
              <w:right w:val="nil"/>
            </w:tcBorders>
            <w:vAlign w:val="bottom"/>
          </w:tcPr>
          <w:p w14:paraId="5BD3F68C" w14:textId="266DC979" w:rsidR="00E42A54" w:rsidRPr="00E42A54" w:rsidRDefault="00E42A54" w:rsidP="00127F44">
            <w:pPr>
              <w:pStyle w:val="NoSpacing"/>
              <w:tabs>
                <w:tab w:val="decimal" w:pos="574"/>
              </w:tabs>
              <w:rPr>
                <w:color w:val="000000"/>
                <w:szCs w:val="24"/>
              </w:rPr>
            </w:pPr>
            <w:r w:rsidRPr="00E42A54">
              <w:rPr>
                <w:color w:val="000000"/>
                <w:szCs w:val="24"/>
              </w:rPr>
              <w:t>0.11</w:t>
            </w:r>
          </w:p>
        </w:tc>
        <w:tc>
          <w:tcPr>
            <w:tcW w:w="1363" w:type="dxa"/>
            <w:tcBorders>
              <w:top w:val="nil"/>
              <w:left w:val="nil"/>
              <w:bottom w:val="nil"/>
              <w:right w:val="nil"/>
            </w:tcBorders>
            <w:shd w:val="clear" w:color="auto" w:fill="auto"/>
            <w:noWrap/>
            <w:vAlign w:val="bottom"/>
            <w:hideMark/>
          </w:tcPr>
          <w:p w14:paraId="408E0F1C" w14:textId="05E92242" w:rsidR="00E42A54" w:rsidRPr="00E42A54" w:rsidRDefault="00E42A54" w:rsidP="00127F44">
            <w:pPr>
              <w:pStyle w:val="NoSpacing"/>
              <w:tabs>
                <w:tab w:val="decimal" w:pos="531"/>
              </w:tabs>
              <w:rPr>
                <w:color w:val="000000"/>
                <w:szCs w:val="24"/>
              </w:rPr>
            </w:pPr>
            <w:r w:rsidRPr="00E42A54">
              <w:rPr>
                <w:color w:val="000000"/>
                <w:szCs w:val="24"/>
              </w:rPr>
              <w:t>0.03</w:t>
            </w:r>
          </w:p>
        </w:tc>
        <w:tc>
          <w:tcPr>
            <w:tcW w:w="1363" w:type="dxa"/>
            <w:tcBorders>
              <w:top w:val="nil"/>
              <w:left w:val="nil"/>
              <w:bottom w:val="nil"/>
              <w:right w:val="nil"/>
            </w:tcBorders>
            <w:shd w:val="clear" w:color="auto" w:fill="auto"/>
            <w:noWrap/>
            <w:vAlign w:val="bottom"/>
            <w:hideMark/>
          </w:tcPr>
          <w:p w14:paraId="39E2A4EB" w14:textId="77777777" w:rsidR="00E42A54" w:rsidRPr="00E42A54" w:rsidRDefault="00E42A54" w:rsidP="00127F44">
            <w:pPr>
              <w:pStyle w:val="NoSpacing"/>
              <w:tabs>
                <w:tab w:val="decimal" w:pos="550"/>
              </w:tabs>
              <w:rPr>
                <w:color w:val="000000"/>
                <w:szCs w:val="24"/>
              </w:rPr>
            </w:pPr>
            <w:r w:rsidRPr="00E42A54">
              <w:rPr>
                <w:color w:val="000000"/>
                <w:szCs w:val="24"/>
              </w:rPr>
              <w:t>1.14</w:t>
            </w:r>
          </w:p>
        </w:tc>
      </w:tr>
      <w:tr w:rsidR="00E42A54" w:rsidRPr="007A5260" w14:paraId="0558CA9B" w14:textId="77777777" w:rsidTr="00E42A54">
        <w:trPr>
          <w:trHeight w:val="300"/>
          <w:jc w:val="center"/>
        </w:trPr>
        <w:tc>
          <w:tcPr>
            <w:tcW w:w="1603" w:type="dxa"/>
            <w:tcBorders>
              <w:top w:val="nil"/>
              <w:left w:val="nil"/>
              <w:right w:val="single" w:sz="4" w:space="0" w:color="auto"/>
            </w:tcBorders>
            <w:shd w:val="clear" w:color="auto" w:fill="auto"/>
            <w:noWrap/>
            <w:vAlign w:val="bottom"/>
            <w:hideMark/>
          </w:tcPr>
          <w:p w14:paraId="3DEFF31F" w14:textId="77777777" w:rsidR="00E42A54" w:rsidRPr="00E42A54" w:rsidRDefault="00E42A54" w:rsidP="00E42A54">
            <w:pPr>
              <w:pStyle w:val="NoSpacing"/>
              <w:rPr>
                <w:color w:val="000000"/>
                <w:szCs w:val="24"/>
              </w:rPr>
            </w:pPr>
            <w:r w:rsidRPr="00E42A54">
              <w:rPr>
                <w:color w:val="000000"/>
                <w:szCs w:val="24"/>
              </w:rPr>
              <w:t>SOI</w:t>
            </w:r>
          </w:p>
        </w:tc>
        <w:tc>
          <w:tcPr>
            <w:tcW w:w="1243" w:type="dxa"/>
            <w:tcBorders>
              <w:top w:val="nil"/>
              <w:left w:val="nil"/>
              <w:bottom w:val="nil"/>
            </w:tcBorders>
            <w:shd w:val="clear" w:color="auto" w:fill="auto"/>
            <w:noWrap/>
            <w:vAlign w:val="bottom"/>
            <w:hideMark/>
          </w:tcPr>
          <w:p w14:paraId="1BD97EBA" w14:textId="77777777" w:rsidR="00E42A54" w:rsidRPr="00E42A54" w:rsidRDefault="00E42A54" w:rsidP="00127F44">
            <w:pPr>
              <w:pStyle w:val="NoSpacing"/>
              <w:tabs>
                <w:tab w:val="decimal" w:pos="501"/>
              </w:tabs>
              <w:rPr>
                <w:color w:val="000000"/>
                <w:szCs w:val="24"/>
              </w:rPr>
            </w:pPr>
            <w:r w:rsidRPr="00E42A54">
              <w:rPr>
                <w:color w:val="000000"/>
                <w:szCs w:val="24"/>
              </w:rPr>
              <w:t>0.12</w:t>
            </w:r>
          </w:p>
        </w:tc>
        <w:tc>
          <w:tcPr>
            <w:tcW w:w="2109" w:type="dxa"/>
            <w:tcBorders>
              <w:top w:val="nil"/>
              <w:bottom w:val="nil"/>
              <w:right w:val="nil"/>
            </w:tcBorders>
            <w:shd w:val="clear" w:color="auto" w:fill="auto"/>
            <w:vAlign w:val="bottom"/>
          </w:tcPr>
          <w:p w14:paraId="1005D10D" w14:textId="0CC6E5A0" w:rsidR="00E42A54" w:rsidRPr="00E42A54" w:rsidRDefault="00E42A54" w:rsidP="00127F44">
            <w:pPr>
              <w:pStyle w:val="NoSpacing"/>
              <w:tabs>
                <w:tab w:val="decimal" w:pos="591"/>
              </w:tabs>
              <w:rPr>
                <w:color w:val="000000"/>
                <w:szCs w:val="24"/>
              </w:rPr>
            </w:pPr>
            <w:r w:rsidRPr="00E42A54">
              <w:rPr>
                <w:color w:val="000000"/>
                <w:szCs w:val="24"/>
              </w:rPr>
              <w:t>0.00</w:t>
            </w:r>
          </w:p>
        </w:tc>
        <w:tc>
          <w:tcPr>
            <w:tcW w:w="1243" w:type="dxa"/>
            <w:tcBorders>
              <w:top w:val="nil"/>
              <w:bottom w:val="nil"/>
              <w:right w:val="nil"/>
            </w:tcBorders>
            <w:vAlign w:val="bottom"/>
          </w:tcPr>
          <w:p w14:paraId="1CBFE585" w14:textId="5CD6FBB3" w:rsidR="00E42A54" w:rsidRPr="00E42A54" w:rsidRDefault="00E42A54" w:rsidP="00127F44">
            <w:pPr>
              <w:pStyle w:val="NoSpacing"/>
              <w:tabs>
                <w:tab w:val="decimal" w:pos="574"/>
              </w:tabs>
              <w:rPr>
                <w:color w:val="000000"/>
                <w:szCs w:val="24"/>
              </w:rPr>
            </w:pPr>
            <w:r w:rsidRPr="00E42A54">
              <w:rPr>
                <w:color w:val="000000"/>
                <w:szCs w:val="24"/>
              </w:rPr>
              <w:t>0.01</w:t>
            </w:r>
          </w:p>
        </w:tc>
        <w:tc>
          <w:tcPr>
            <w:tcW w:w="1363" w:type="dxa"/>
            <w:tcBorders>
              <w:top w:val="nil"/>
              <w:left w:val="nil"/>
              <w:bottom w:val="nil"/>
              <w:right w:val="nil"/>
            </w:tcBorders>
            <w:shd w:val="clear" w:color="auto" w:fill="auto"/>
            <w:noWrap/>
            <w:vAlign w:val="bottom"/>
            <w:hideMark/>
          </w:tcPr>
          <w:p w14:paraId="01DF62F1" w14:textId="6DA63804" w:rsidR="00E42A54" w:rsidRPr="00E42A54" w:rsidRDefault="00E42A54" w:rsidP="00127F44">
            <w:pPr>
              <w:pStyle w:val="NoSpacing"/>
              <w:tabs>
                <w:tab w:val="decimal" w:pos="531"/>
              </w:tabs>
              <w:rPr>
                <w:color w:val="000000"/>
                <w:szCs w:val="24"/>
              </w:rPr>
            </w:pPr>
            <w:r w:rsidRPr="00E42A54">
              <w:rPr>
                <w:color w:val="000000"/>
                <w:szCs w:val="24"/>
              </w:rPr>
              <w:t>0.00</w:t>
            </w:r>
          </w:p>
        </w:tc>
        <w:tc>
          <w:tcPr>
            <w:tcW w:w="1363" w:type="dxa"/>
            <w:tcBorders>
              <w:top w:val="nil"/>
              <w:left w:val="nil"/>
              <w:bottom w:val="nil"/>
              <w:right w:val="nil"/>
            </w:tcBorders>
            <w:shd w:val="clear" w:color="auto" w:fill="auto"/>
            <w:noWrap/>
            <w:vAlign w:val="bottom"/>
            <w:hideMark/>
          </w:tcPr>
          <w:p w14:paraId="3B31ECDE" w14:textId="77777777" w:rsidR="00E42A54" w:rsidRPr="00E42A54" w:rsidRDefault="00E42A54" w:rsidP="00127F44">
            <w:pPr>
              <w:pStyle w:val="NoSpacing"/>
              <w:tabs>
                <w:tab w:val="decimal" w:pos="550"/>
              </w:tabs>
              <w:rPr>
                <w:color w:val="000000"/>
                <w:szCs w:val="24"/>
              </w:rPr>
            </w:pPr>
            <w:r w:rsidRPr="00E42A54">
              <w:rPr>
                <w:color w:val="000000"/>
                <w:szCs w:val="24"/>
              </w:rPr>
              <w:t>0.03</w:t>
            </w:r>
          </w:p>
        </w:tc>
      </w:tr>
      <w:tr w:rsidR="00E42A54" w:rsidRPr="007A5260" w14:paraId="502B78F6" w14:textId="77777777" w:rsidTr="00E42A54">
        <w:trPr>
          <w:trHeight w:val="300"/>
          <w:jc w:val="center"/>
        </w:trPr>
        <w:tc>
          <w:tcPr>
            <w:tcW w:w="1603" w:type="dxa"/>
            <w:tcBorders>
              <w:top w:val="nil"/>
              <w:left w:val="nil"/>
              <w:right w:val="single" w:sz="4" w:space="0" w:color="auto"/>
            </w:tcBorders>
            <w:shd w:val="clear" w:color="auto" w:fill="auto"/>
            <w:noWrap/>
            <w:vAlign w:val="bottom"/>
            <w:hideMark/>
          </w:tcPr>
          <w:p w14:paraId="3A615A80" w14:textId="77777777" w:rsidR="00E42A54" w:rsidRPr="00E42A54" w:rsidRDefault="00E42A54" w:rsidP="00E42A54">
            <w:pPr>
              <w:pStyle w:val="NoSpacing"/>
              <w:rPr>
                <w:color w:val="000000"/>
                <w:szCs w:val="24"/>
              </w:rPr>
            </w:pPr>
            <w:r w:rsidRPr="00E42A54">
              <w:rPr>
                <w:color w:val="000000"/>
                <w:szCs w:val="24"/>
              </w:rPr>
              <w:t>BeginSetTime</w:t>
            </w:r>
          </w:p>
        </w:tc>
        <w:tc>
          <w:tcPr>
            <w:tcW w:w="1243" w:type="dxa"/>
            <w:tcBorders>
              <w:top w:val="nil"/>
              <w:left w:val="nil"/>
              <w:bottom w:val="nil"/>
            </w:tcBorders>
            <w:shd w:val="clear" w:color="auto" w:fill="auto"/>
            <w:noWrap/>
            <w:vAlign w:val="bottom"/>
            <w:hideMark/>
          </w:tcPr>
          <w:p w14:paraId="116FBD0F" w14:textId="77777777" w:rsidR="00E42A54" w:rsidRPr="00E42A54" w:rsidRDefault="00E42A54" w:rsidP="00127F44">
            <w:pPr>
              <w:pStyle w:val="NoSpacing"/>
              <w:tabs>
                <w:tab w:val="decimal" w:pos="501"/>
              </w:tabs>
              <w:rPr>
                <w:color w:val="000000"/>
                <w:szCs w:val="24"/>
              </w:rPr>
            </w:pPr>
            <w:r w:rsidRPr="00E42A54">
              <w:rPr>
                <w:color w:val="000000"/>
                <w:szCs w:val="24"/>
              </w:rPr>
              <w:t>0.21</w:t>
            </w:r>
          </w:p>
        </w:tc>
        <w:tc>
          <w:tcPr>
            <w:tcW w:w="2109" w:type="dxa"/>
            <w:tcBorders>
              <w:top w:val="nil"/>
              <w:bottom w:val="nil"/>
              <w:right w:val="nil"/>
            </w:tcBorders>
            <w:shd w:val="clear" w:color="auto" w:fill="auto"/>
            <w:vAlign w:val="bottom"/>
          </w:tcPr>
          <w:p w14:paraId="6D6CC03A" w14:textId="4563EDE3" w:rsidR="00E42A54" w:rsidRPr="00E42A54" w:rsidRDefault="00E42A54" w:rsidP="00127F44">
            <w:pPr>
              <w:pStyle w:val="NoSpacing"/>
              <w:tabs>
                <w:tab w:val="decimal" w:pos="591"/>
              </w:tabs>
              <w:rPr>
                <w:color w:val="000000"/>
                <w:szCs w:val="24"/>
              </w:rPr>
            </w:pPr>
            <w:r w:rsidRPr="00E42A54">
              <w:rPr>
                <w:color w:val="000000"/>
                <w:szCs w:val="24"/>
              </w:rPr>
              <w:t>1.12</w:t>
            </w:r>
          </w:p>
        </w:tc>
        <w:tc>
          <w:tcPr>
            <w:tcW w:w="1243" w:type="dxa"/>
            <w:tcBorders>
              <w:top w:val="nil"/>
              <w:bottom w:val="nil"/>
              <w:right w:val="nil"/>
            </w:tcBorders>
            <w:vAlign w:val="bottom"/>
          </w:tcPr>
          <w:p w14:paraId="69BE2F5C" w14:textId="3E82EC93" w:rsidR="00E42A54" w:rsidRPr="00E42A54" w:rsidRDefault="00E42A54" w:rsidP="00127F44">
            <w:pPr>
              <w:pStyle w:val="NoSpacing"/>
              <w:tabs>
                <w:tab w:val="decimal" w:pos="574"/>
              </w:tabs>
              <w:rPr>
                <w:color w:val="000000"/>
                <w:szCs w:val="24"/>
              </w:rPr>
            </w:pPr>
            <w:r w:rsidRPr="00E42A54">
              <w:rPr>
                <w:color w:val="000000"/>
                <w:szCs w:val="24"/>
              </w:rPr>
              <w:t>18.49</w:t>
            </w:r>
          </w:p>
        </w:tc>
        <w:tc>
          <w:tcPr>
            <w:tcW w:w="1363" w:type="dxa"/>
            <w:tcBorders>
              <w:top w:val="nil"/>
              <w:left w:val="nil"/>
              <w:bottom w:val="nil"/>
              <w:right w:val="nil"/>
            </w:tcBorders>
            <w:shd w:val="clear" w:color="auto" w:fill="auto"/>
            <w:noWrap/>
            <w:vAlign w:val="bottom"/>
            <w:hideMark/>
          </w:tcPr>
          <w:p w14:paraId="06B49F86" w14:textId="08D4E0BC" w:rsidR="00E42A54" w:rsidRPr="00E42A54" w:rsidRDefault="00E42A54" w:rsidP="00127F44">
            <w:pPr>
              <w:pStyle w:val="NoSpacing"/>
              <w:tabs>
                <w:tab w:val="decimal" w:pos="531"/>
              </w:tabs>
              <w:rPr>
                <w:color w:val="000000"/>
                <w:szCs w:val="24"/>
              </w:rPr>
            </w:pPr>
            <w:r w:rsidRPr="00E42A54">
              <w:rPr>
                <w:color w:val="000000"/>
                <w:szCs w:val="24"/>
              </w:rPr>
              <w:t>2.18</w:t>
            </w:r>
          </w:p>
        </w:tc>
        <w:tc>
          <w:tcPr>
            <w:tcW w:w="1363" w:type="dxa"/>
            <w:tcBorders>
              <w:top w:val="nil"/>
              <w:left w:val="nil"/>
              <w:bottom w:val="nil"/>
              <w:right w:val="nil"/>
            </w:tcBorders>
            <w:shd w:val="clear" w:color="auto" w:fill="auto"/>
            <w:noWrap/>
            <w:vAlign w:val="bottom"/>
            <w:hideMark/>
          </w:tcPr>
          <w:p w14:paraId="14C7CDB6" w14:textId="77777777" w:rsidR="00E42A54" w:rsidRPr="00E42A54" w:rsidRDefault="00E42A54" w:rsidP="00127F44">
            <w:pPr>
              <w:pStyle w:val="NoSpacing"/>
              <w:tabs>
                <w:tab w:val="decimal" w:pos="550"/>
              </w:tabs>
              <w:rPr>
                <w:color w:val="000000"/>
                <w:szCs w:val="24"/>
              </w:rPr>
            </w:pPr>
            <w:r w:rsidRPr="00E42A54">
              <w:rPr>
                <w:color w:val="000000"/>
                <w:szCs w:val="24"/>
              </w:rPr>
              <w:t>0.07</w:t>
            </w:r>
          </w:p>
        </w:tc>
      </w:tr>
    </w:tbl>
    <w:p w14:paraId="2ECC57E6" w14:textId="77777777" w:rsidR="0012349B" w:rsidRDefault="0012349B" w:rsidP="0012349B">
      <w:pPr>
        <w:rPr>
          <w:rFonts w:ascii="Arial" w:hAnsi="Arial"/>
          <w:sz w:val="22"/>
          <w:szCs w:val="18"/>
        </w:rPr>
      </w:pPr>
      <w:r>
        <w:br w:type="page"/>
      </w:r>
    </w:p>
    <w:p w14:paraId="7054E6EC" w14:textId="6AA6CD18" w:rsidR="0012349B" w:rsidRDefault="0012349B">
      <w:pPr>
        <w:pStyle w:val="Caption"/>
      </w:pPr>
      <w:bookmarkStart w:id="5" w:name="_Ref500489617"/>
      <w:r>
        <w:lastRenderedPageBreak/>
        <w:t xml:space="preserve">Table </w:t>
      </w:r>
      <w:r w:rsidR="00A92D0A">
        <w:fldChar w:fldCharType="begin"/>
      </w:r>
      <w:r w:rsidR="00A92D0A">
        <w:instrText xml:space="preserve"> SEQ Table \* ARABIC </w:instrText>
      </w:r>
      <w:r w:rsidR="00A92D0A">
        <w:fldChar w:fldCharType="separate"/>
      </w:r>
      <w:r w:rsidR="00E33BD3">
        <w:rPr>
          <w:noProof/>
        </w:rPr>
        <w:t>4</w:t>
      </w:r>
      <w:r w:rsidR="00A92D0A">
        <w:rPr>
          <w:noProof/>
        </w:rPr>
        <w:fldChar w:fldCharType="end"/>
      </w:r>
      <w:bookmarkEnd w:id="5"/>
      <w:r>
        <w:t xml:space="preserve">. Annual standardized </w:t>
      </w:r>
      <w:r w:rsidR="00B94F1C">
        <w:t xml:space="preserve">swordfish </w:t>
      </w:r>
      <w:r>
        <w:t xml:space="preserve">CPUE </w:t>
      </w:r>
      <w:r w:rsidR="00B94F1C">
        <w:t xml:space="preserve">(# swordfish/1000 hooks) </w:t>
      </w:r>
      <w:r>
        <w:t>and CVs f</w:t>
      </w:r>
      <w:r w:rsidR="00D9310A">
        <w:t xml:space="preserve">or the </w:t>
      </w:r>
      <w:r w:rsidR="000D0A0F">
        <w:t>shallow-set</w:t>
      </w:r>
      <w:r>
        <w:t xml:space="preserve"> and </w:t>
      </w:r>
      <w:r w:rsidR="00F764D8">
        <w:t>deep-set</w:t>
      </w:r>
      <w:r>
        <w:t xml:space="preserve"> Hawaii-based longline fishery from the Pacific Islands Regional Observer Program </w:t>
      </w:r>
      <w:r w:rsidR="00345600">
        <w:t>data set</w:t>
      </w:r>
      <w:r>
        <w:t>.</w:t>
      </w:r>
    </w:p>
    <w:tbl>
      <w:tblPr>
        <w:tblW w:w="4800" w:type="dxa"/>
        <w:jc w:val="center"/>
        <w:tblLook w:val="04A0" w:firstRow="1" w:lastRow="0" w:firstColumn="1" w:lastColumn="0" w:noHBand="0" w:noVBand="1"/>
        <w:tblDescription w:val="Annual standardized swordfish CPUE (# swordfish/1000 hooks) and CVs for the shallow-set and deep-set Hawaii-based longline fishery from the Pacific Islands Regional Observer Program data set."/>
      </w:tblPr>
      <w:tblGrid>
        <w:gridCol w:w="960"/>
        <w:gridCol w:w="1072"/>
        <w:gridCol w:w="848"/>
        <w:gridCol w:w="960"/>
        <w:gridCol w:w="960"/>
      </w:tblGrid>
      <w:tr w:rsidR="00112EDC" w:rsidRPr="00112EDC" w14:paraId="424EF01C" w14:textId="77777777" w:rsidTr="00DA1AB7">
        <w:trPr>
          <w:trHeight w:val="300"/>
          <w:jc w:val="center"/>
        </w:trPr>
        <w:tc>
          <w:tcPr>
            <w:tcW w:w="960" w:type="dxa"/>
            <w:tcBorders>
              <w:top w:val="nil"/>
              <w:left w:val="nil"/>
              <w:right w:val="nil"/>
            </w:tcBorders>
            <w:shd w:val="clear" w:color="auto" w:fill="auto"/>
            <w:noWrap/>
            <w:vAlign w:val="bottom"/>
            <w:hideMark/>
          </w:tcPr>
          <w:p w14:paraId="042BD9CF" w14:textId="77777777" w:rsidR="00112EDC" w:rsidRPr="00127F44" w:rsidRDefault="00112EDC" w:rsidP="00E42A54">
            <w:pPr>
              <w:pStyle w:val="NoSpacing"/>
              <w:rPr>
                <w:b/>
                <w:szCs w:val="24"/>
              </w:rPr>
            </w:pPr>
          </w:p>
        </w:tc>
        <w:tc>
          <w:tcPr>
            <w:tcW w:w="1920" w:type="dxa"/>
            <w:gridSpan w:val="2"/>
            <w:tcBorders>
              <w:top w:val="nil"/>
              <w:left w:val="nil"/>
              <w:right w:val="nil"/>
            </w:tcBorders>
            <w:shd w:val="clear" w:color="auto" w:fill="auto"/>
            <w:noWrap/>
            <w:vAlign w:val="center"/>
            <w:hideMark/>
          </w:tcPr>
          <w:p w14:paraId="214F873C" w14:textId="77777777" w:rsidR="00112EDC" w:rsidRPr="00127F44" w:rsidRDefault="00112EDC" w:rsidP="00E42A54">
            <w:pPr>
              <w:pStyle w:val="NoSpacing"/>
              <w:rPr>
                <w:b/>
                <w:color w:val="000000"/>
                <w:szCs w:val="24"/>
              </w:rPr>
            </w:pPr>
            <w:r w:rsidRPr="00127F44">
              <w:rPr>
                <w:b/>
                <w:color w:val="000000"/>
                <w:szCs w:val="24"/>
              </w:rPr>
              <w:t>Shallow Set</w:t>
            </w:r>
          </w:p>
        </w:tc>
        <w:tc>
          <w:tcPr>
            <w:tcW w:w="1920" w:type="dxa"/>
            <w:gridSpan w:val="2"/>
            <w:tcBorders>
              <w:top w:val="nil"/>
              <w:left w:val="nil"/>
              <w:right w:val="nil"/>
            </w:tcBorders>
            <w:shd w:val="clear" w:color="auto" w:fill="auto"/>
            <w:noWrap/>
            <w:vAlign w:val="center"/>
            <w:hideMark/>
          </w:tcPr>
          <w:p w14:paraId="0303C2A5" w14:textId="1F0784A2" w:rsidR="00112EDC" w:rsidRPr="00127F44" w:rsidRDefault="00112EDC" w:rsidP="00E42A54">
            <w:pPr>
              <w:pStyle w:val="NoSpacing"/>
              <w:rPr>
                <w:b/>
                <w:color w:val="000000"/>
                <w:szCs w:val="24"/>
              </w:rPr>
            </w:pPr>
            <w:r w:rsidRPr="00127F44">
              <w:rPr>
                <w:b/>
                <w:color w:val="000000"/>
                <w:szCs w:val="24"/>
              </w:rPr>
              <w:t>Deep Set</w:t>
            </w:r>
          </w:p>
        </w:tc>
      </w:tr>
      <w:tr w:rsidR="00112EDC" w:rsidRPr="00112EDC" w14:paraId="786EE9F7" w14:textId="77777777" w:rsidTr="00DA1AB7">
        <w:trPr>
          <w:trHeight w:val="300"/>
          <w:jc w:val="center"/>
        </w:trPr>
        <w:tc>
          <w:tcPr>
            <w:tcW w:w="960" w:type="dxa"/>
            <w:tcBorders>
              <w:top w:val="nil"/>
              <w:left w:val="nil"/>
              <w:bottom w:val="single" w:sz="4" w:space="0" w:color="auto"/>
              <w:right w:val="nil"/>
            </w:tcBorders>
            <w:shd w:val="clear" w:color="auto" w:fill="auto"/>
            <w:noWrap/>
            <w:vAlign w:val="center"/>
            <w:hideMark/>
          </w:tcPr>
          <w:p w14:paraId="695E368B" w14:textId="77777777" w:rsidR="00112EDC" w:rsidRPr="00127F44" w:rsidRDefault="00112EDC" w:rsidP="00E42A54">
            <w:pPr>
              <w:pStyle w:val="NoSpacing"/>
              <w:rPr>
                <w:b/>
                <w:color w:val="000000"/>
                <w:szCs w:val="24"/>
              </w:rPr>
            </w:pPr>
            <w:r w:rsidRPr="00127F44">
              <w:rPr>
                <w:b/>
                <w:color w:val="000000"/>
                <w:szCs w:val="24"/>
              </w:rPr>
              <w:t>Year</w:t>
            </w:r>
          </w:p>
        </w:tc>
        <w:tc>
          <w:tcPr>
            <w:tcW w:w="1072" w:type="dxa"/>
            <w:tcBorders>
              <w:top w:val="nil"/>
              <w:left w:val="nil"/>
              <w:bottom w:val="single" w:sz="4" w:space="0" w:color="auto"/>
              <w:right w:val="nil"/>
            </w:tcBorders>
            <w:shd w:val="clear" w:color="auto" w:fill="auto"/>
            <w:noWrap/>
            <w:vAlign w:val="center"/>
            <w:hideMark/>
          </w:tcPr>
          <w:p w14:paraId="5E5F5134" w14:textId="77777777" w:rsidR="00112EDC" w:rsidRPr="00127F44" w:rsidRDefault="00112EDC" w:rsidP="00E42A54">
            <w:pPr>
              <w:pStyle w:val="NoSpacing"/>
              <w:rPr>
                <w:b/>
                <w:color w:val="000000"/>
                <w:szCs w:val="24"/>
              </w:rPr>
            </w:pPr>
            <w:r w:rsidRPr="00127F44">
              <w:rPr>
                <w:b/>
                <w:color w:val="000000"/>
                <w:szCs w:val="24"/>
              </w:rPr>
              <w:t>CPUE</w:t>
            </w:r>
          </w:p>
        </w:tc>
        <w:tc>
          <w:tcPr>
            <w:tcW w:w="848" w:type="dxa"/>
            <w:tcBorders>
              <w:top w:val="nil"/>
              <w:left w:val="nil"/>
              <w:bottom w:val="single" w:sz="4" w:space="0" w:color="auto"/>
              <w:right w:val="nil"/>
            </w:tcBorders>
            <w:shd w:val="clear" w:color="auto" w:fill="auto"/>
            <w:noWrap/>
            <w:vAlign w:val="center"/>
            <w:hideMark/>
          </w:tcPr>
          <w:p w14:paraId="09BB2883" w14:textId="77777777" w:rsidR="00112EDC" w:rsidRPr="00127F44" w:rsidRDefault="00112EDC" w:rsidP="00E42A54">
            <w:pPr>
              <w:pStyle w:val="NoSpacing"/>
              <w:rPr>
                <w:b/>
                <w:color w:val="000000"/>
                <w:szCs w:val="24"/>
              </w:rPr>
            </w:pPr>
            <w:r w:rsidRPr="00127F44">
              <w:rPr>
                <w:b/>
                <w:color w:val="000000"/>
                <w:szCs w:val="24"/>
              </w:rPr>
              <w:t>CV</w:t>
            </w:r>
          </w:p>
        </w:tc>
        <w:tc>
          <w:tcPr>
            <w:tcW w:w="960" w:type="dxa"/>
            <w:tcBorders>
              <w:top w:val="nil"/>
              <w:left w:val="nil"/>
              <w:bottom w:val="single" w:sz="4" w:space="0" w:color="auto"/>
              <w:right w:val="nil"/>
            </w:tcBorders>
            <w:shd w:val="clear" w:color="auto" w:fill="auto"/>
            <w:noWrap/>
            <w:vAlign w:val="center"/>
            <w:hideMark/>
          </w:tcPr>
          <w:p w14:paraId="6C0DDD4A" w14:textId="77777777" w:rsidR="00112EDC" w:rsidRPr="00127F44" w:rsidRDefault="00112EDC" w:rsidP="00E42A54">
            <w:pPr>
              <w:pStyle w:val="NoSpacing"/>
              <w:rPr>
                <w:b/>
                <w:color w:val="000000"/>
                <w:szCs w:val="24"/>
              </w:rPr>
            </w:pPr>
            <w:r w:rsidRPr="00127F44">
              <w:rPr>
                <w:b/>
                <w:color w:val="000000"/>
                <w:szCs w:val="24"/>
              </w:rPr>
              <w:t>CPUE</w:t>
            </w:r>
          </w:p>
        </w:tc>
        <w:tc>
          <w:tcPr>
            <w:tcW w:w="960" w:type="dxa"/>
            <w:tcBorders>
              <w:top w:val="nil"/>
              <w:left w:val="nil"/>
              <w:bottom w:val="single" w:sz="4" w:space="0" w:color="auto"/>
              <w:right w:val="nil"/>
            </w:tcBorders>
            <w:shd w:val="clear" w:color="auto" w:fill="auto"/>
            <w:noWrap/>
            <w:vAlign w:val="center"/>
            <w:hideMark/>
          </w:tcPr>
          <w:p w14:paraId="6AEF4675" w14:textId="77777777" w:rsidR="00112EDC" w:rsidRPr="00127F44" w:rsidRDefault="00112EDC" w:rsidP="00E42A54">
            <w:pPr>
              <w:pStyle w:val="NoSpacing"/>
              <w:rPr>
                <w:b/>
                <w:color w:val="000000"/>
                <w:szCs w:val="24"/>
              </w:rPr>
            </w:pPr>
            <w:r w:rsidRPr="00127F44">
              <w:rPr>
                <w:b/>
                <w:color w:val="000000"/>
                <w:szCs w:val="24"/>
              </w:rPr>
              <w:t>CV</w:t>
            </w:r>
          </w:p>
        </w:tc>
      </w:tr>
      <w:tr w:rsidR="00112EDC" w:rsidRPr="00112EDC" w14:paraId="12678FD0" w14:textId="77777777" w:rsidTr="00DA1AB7">
        <w:trPr>
          <w:trHeight w:val="300"/>
          <w:jc w:val="center"/>
        </w:trPr>
        <w:tc>
          <w:tcPr>
            <w:tcW w:w="960" w:type="dxa"/>
            <w:tcBorders>
              <w:top w:val="single" w:sz="4" w:space="0" w:color="auto"/>
              <w:left w:val="nil"/>
              <w:bottom w:val="nil"/>
              <w:right w:val="nil"/>
            </w:tcBorders>
            <w:shd w:val="clear" w:color="auto" w:fill="auto"/>
            <w:noWrap/>
            <w:vAlign w:val="center"/>
            <w:hideMark/>
          </w:tcPr>
          <w:p w14:paraId="5212A57C" w14:textId="77777777" w:rsidR="00112EDC" w:rsidRPr="00E42A54" w:rsidRDefault="00112EDC" w:rsidP="00E42A54">
            <w:pPr>
              <w:pStyle w:val="NoSpacing"/>
              <w:rPr>
                <w:color w:val="000000"/>
                <w:szCs w:val="24"/>
              </w:rPr>
            </w:pPr>
            <w:r w:rsidRPr="00E42A54">
              <w:rPr>
                <w:color w:val="000000"/>
                <w:szCs w:val="24"/>
              </w:rPr>
              <w:t>1995</w:t>
            </w:r>
          </w:p>
        </w:tc>
        <w:tc>
          <w:tcPr>
            <w:tcW w:w="1072" w:type="dxa"/>
            <w:tcBorders>
              <w:top w:val="single" w:sz="4" w:space="0" w:color="auto"/>
              <w:left w:val="nil"/>
              <w:bottom w:val="nil"/>
              <w:right w:val="nil"/>
            </w:tcBorders>
            <w:shd w:val="clear" w:color="auto" w:fill="auto"/>
            <w:noWrap/>
            <w:vAlign w:val="center"/>
            <w:hideMark/>
          </w:tcPr>
          <w:p w14:paraId="30637085" w14:textId="77777777" w:rsidR="00112EDC" w:rsidRPr="00E42A54" w:rsidRDefault="00112EDC" w:rsidP="00127F44">
            <w:pPr>
              <w:pStyle w:val="NoSpacing"/>
              <w:tabs>
                <w:tab w:val="decimal" w:pos="342"/>
              </w:tabs>
              <w:rPr>
                <w:color w:val="000000"/>
                <w:szCs w:val="24"/>
              </w:rPr>
            </w:pPr>
            <w:r w:rsidRPr="00E42A54">
              <w:rPr>
                <w:color w:val="000000"/>
                <w:szCs w:val="24"/>
              </w:rPr>
              <w:t>3.04</w:t>
            </w:r>
          </w:p>
        </w:tc>
        <w:tc>
          <w:tcPr>
            <w:tcW w:w="848" w:type="dxa"/>
            <w:tcBorders>
              <w:top w:val="single" w:sz="4" w:space="0" w:color="auto"/>
              <w:left w:val="nil"/>
              <w:bottom w:val="nil"/>
              <w:right w:val="nil"/>
            </w:tcBorders>
            <w:shd w:val="clear" w:color="auto" w:fill="auto"/>
            <w:noWrap/>
            <w:vAlign w:val="center"/>
            <w:hideMark/>
          </w:tcPr>
          <w:p w14:paraId="71E07C6C" w14:textId="77777777" w:rsidR="00112EDC" w:rsidRPr="00E42A54" w:rsidRDefault="00112EDC" w:rsidP="00E42A54">
            <w:pPr>
              <w:pStyle w:val="NoSpacing"/>
              <w:rPr>
                <w:color w:val="000000"/>
                <w:szCs w:val="24"/>
              </w:rPr>
            </w:pPr>
            <w:r w:rsidRPr="00E42A54">
              <w:rPr>
                <w:color w:val="000000"/>
                <w:szCs w:val="24"/>
              </w:rPr>
              <w:t>0.51</w:t>
            </w:r>
          </w:p>
        </w:tc>
        <w:tc>
          <w:tcPr>
            <w:tcW w:w="960" w:type="dxa"/>
            <w:tcBorders>
              <w:top w:val="single" w:sz="4" w:space="0" w:color="auto"/>
              <w:left w:val="nil"/>
              <w:bottom w:val="nil"/>
              <w:right w:val="nil"/>
            </w:tcBorders>
            <w:shd w:val="clear" w:color="auto" w:fill="auto"/>
            <w:noWrap/>
            <w:vAlign w:val="center"/>
            <w:hideMark/>
          </w:tcPr>
          <w:p w14:paraId="4C1240D5" w14:textId="77777777" w:rsidR="00112EDC" w:rsidRPr="00E42A54" w:rsidRDefault="00112EDC" w:rsidP="00127F44">
            <w:pPr>
              <w:pStyle w:val="NoSpacing"/>
              <w:tabs>
                <w:tab w:val="decimal" w:pos="312"/>
              </w:tabs>
              <w:rPr>
                <w:color w:val="000000"/>
                <w:szCs w:val="24"/>
              </w:rPr>
            </w:pPr>
            <w:r w:rsidRPr="00E42A54">
              <w:rPr>
                <w:color w:val="000000"/>
                <w:szCs w:val="24"/>
              </w:rPr>
              <w:t>0.32</w:t>
            </w:r>
          </w:p>
        </w:tc>
        <w:tc>
          <w:tcPr>
            <w:tcW w:w="960" w:type="dxa"/>
            <w:tcBorders>
              <w:top w:val="single" w:sz="4" w:space="0" w:color="auto"/>
              <w:left w:val="nil"/>
              <w:bottom w:val="nil"/>
              <w:right w:val="nil"/>
            </w:tcBorders>
            <w:shd w:val="clear" w:color="auto" w:fill="auto"/>
            <w:noWrap/>
            <w:vAlign w:val="center"/>
            <w:hideMark/>
          </w:tcPr>
          <w:p w14:paraId="734E001F" w14:textId="77777777" w:rsidR="00112EDC" w:rsidRPr="00E42A54" w:rsidRDefault="00112EDC" w:rsidP="00E42A54">
            <w:pPr>
              <w:pStyle w:val="NoSpacing"/>
              <w:rPr>
                <w:color w:val="000000"/>
                <w:szCs w:val="24"/>
              </w:rPr>
            </w:pPr>
            <w:r w:rsidRPr="00E42A54">
              <w:rPr>
                <w:color w:val="000000"/>
                <w:szCs w:val="24"/>
              </w:rPr>
              <w:t>1.68</w:t>
            </w:r>
          </w:p>
        </w:tc>
      </w:tr>
      <w:tr w:rsidR="00112EDC" w:rsidRPr="00112EDC" w14:paraId="17957A1F"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2A04DD6E" w14:textId="77777777" w:rsidR="00112EDC" w:rsidRPr="00E42A54" w:rsidRDefault="00112EDC" w:rsidP="00E42A54">
            <w:pPr>
              <w:pStyle w:val="NoSpacing"/>
              <w:rPr>
                <w:color w:val="000000"/>
                <w:szCs w:val="24"/>
              </w:rPr>
            </w:pPr>
            <w:r w:rsidRPr="00E42A54">
              <w:rPr>
                <w:color w:val="000000"/>
                <w:szCs w:val="24"/>
              </w:rPr>
              <w:t>1996</w:t>
            </w:r>
          </w:p>
        </w:tc>
        <w:tc>
          <w:tcPr>
            <w:tcW w:w="1072" w:type="dxa"/>
            <w:tcBorders>
              <w:top w:val="nil"/>
              <w:left w:val="nil"/>
              <w:bottom w:val="nil"/>
              <w:right w:val="nil"/>
            </w:tcBorders>
            <w:shd w:val="clear" w:color="auto" w:fill="auto"/>
            <w:noWrap/>
            <w:vAlign w:val="center"/>
            <w:hideMark/>
          </w:tcPr>
          <w:p w14:paraId="17AF87A6" w14:textId="77777777" w:rsidR="00112EDC" w:rsidRPr="00E42A54" w:rsidRDefault="00112EDC" w:rsidP="00127F44">
            <w:pPr>
              <w:pStyle w:val="NoSpacing"/>
              <w:tabs>
                <w:tab w:val="decimal" w:pos="342"/>
              </w:tabs>
              <w:rPr>
                <w:color w:val="000000"/>
                <w:szCs w:val="24"/>
              </w:rPr>
            </w:pPr>
            <w:r w:rsidRPr="00E42A54">
              <w:rPr>
                <w:color w:val="000000"/>
                <w:szCs w:val="24"/>
              </w:rPr>
              <w:t>3.16</w:t>
            </w:r>
          </w:p>
        </w:tc>
        <w:tc>
          <w:tcPr>
            <w:tcW w:w="848" w:type="dxa"/>
            <w:tcBorders>
              <w:top w:val="nil"/>
              <w:left w:val="nil"/>
              <w:bottom w:val="nil"/>
              <w:right w:val="nil"/>
            </w:tcBorders>
            <w:shd w:val="clear" w:color="auto" w:fill="auto"/>
            <w:noWrap/>
            <w:vAlign w:val="center"/>
            <w:hideMark/>
          </w:tcPr>
          <w:p w14:paraId="43F3B81B" w14:textId="77777777" w:rsidR="00112EDC" w:rsidRPr="00E42A54" w:rsidRDefault="00112EDC" w:rsidP="00E42A54">
            <w:pPr>
              <w:pStyle w:val="NoSpacing"/>
              <w:rPr>
                <w:color w:val="000000"/>
                <w:szCs w:val="24"/>
              </w:rPr>
            </w:pPr>
            <w:r w:rsidRPr="00E42A54">
              <w:rPr>
                <w:color w:val="000000"/>
                <w:szCs w:val="24"/>
              </w:rPr>
              <w:t>0.51</w:t>
            </w:r>
          </w:p>
        </w:tc>
        <w:tc>
          <w:tcPr>
            <w:tcW w:w="960" w:type="dxa"/>
            <w:tcBorders>
              <w:top w:val="nil"/>
              <w:left w:val="nil"/>
              <w:bottom w:val="nil"/>
              <w:right w:val="nil"/>
            </w:tcBorders>
            <w:shd w:val="clear" w:color="auto" w:fill="auto"/>
            <w:noWrap/>
            <w:vAlign w:val="center"/>
            <w:hideMark/>
          </w:tcPr>
          <w:p w14:paraId="77EAC49D" w14:textId="77777777" w:rsidR="00112EDC" w:rsidRPr="00E42A54" w:rsidRDefault="00112EDC" w:rsidP="00127F44">
            <w:pPr>
              <w:pStyle w:val="NoSpacing"/>
              <w:tabs>
                <w:tab w:val="decimal" w:pos="312"/>
              </w:tabs>
              <w:rPr>
                <w:color w:val="000000"/>
                <w:szCs w:val="24"/>
              </w:rPr>
            </w:pPr>
            <w:r w:rsidRPr="00E42A54">
              <w:rPr>
                <w:color w:val="000000"/>
                <w:szCs w:val="24"/>
              </w:rPr>
              <w:t>0.20</w:t>
            </w:r>
          </w:p>
        </w:tc>
        <w:tc>
          <w:tcPr>
            <w:tcW w:w="960" w:type="dxa"/>
            <w:tcBorders>
              <w:top w:val="nil"/>
              <w:left w:val="nil"/>
              <w:bottom w:val="nil"/>
              <w:right w:val="nil"/>
            </w:tcBorders>
            <w:shd w:val="clear" w:color="auto" w:fill="auto"/>
            <w:noWrap/>
            <w:vAlign w:val="center"/>
            <w:hideMark/>
          </w:tcPr>
          <w:p w14:paraId="0485AEF4" w14:textId="77777777" w:rsidR="00112EDC" w:rsidRPr="00E42A54" w:rsidRDefault="00112EDC" w:rsidP="00E42A54">
            <w:pPr>
              <w:pStyle w:val="NoSpacing"/>
              <w:rPr>
                <w:color w:val="000000"/>
                <w:szCs w:val="24"/>
              </w:rPr>
            </w:pPr>
            <w:r w:rsidRPr="00E42A54">
              <w:rPr>
                <w:color w:val="000000"/>
                <w:szCs w:val="24"/>
              </w:rPr>
              <w:t>2.28</w:t>
            </w:r>
          </w:p>
        </w:tc>
      </w:tr>
      <w:tr w:rsidR="00112EDC" w:rsidRPr="00112EDC" w14:paraId="463A552D"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5C7AA292" w14:textId="77777777" w:rsidR="00112EDC" w:rsidRPr="00E42A54" w:rsidRDefault="00112EDC" w:rsidP="00E42A54">
            <w:pPr>
              <w:pStyle w:val="NoSpacing"/>
              <w:rPr>
                <w:color w:val="000000"/>
                <w:szCs w:val="24"/>
              </w:rPr>
            </w:pPr>
            <w:r w:rsidRPr="00E42A54">
              <w:rPr>
                <w:color w:val="000000"/>
                <w:szCs w:val="24"/>
              </w:rPr>
              <w:t>1997</w:t>
            </w:r>
          </w:p>
        </w:tc>
        <w:tc>
          <w:tcPr>
            <w:tcW w:w="1072" w:type="dxa"/>
            <w:tcBorders>
              <w:top w:val="nil"/>
              <w:left w:val="nil"/>
              <w:bottom w:val="nil"/>
              <w:right w:val="nil"/>
            </w:tcBorders>
            <w:shd w:val="clear" w:color="auto" w:fill="auto"/>
            <w:noWrap/>
            <w:vAlign w:val="center"/>
            <w:hideMark/>
          </w:tcPr>
          <w:p w14:paraId="67BB946D" w14:textId="77777777" w:rsidR="00112EDC" w:rsidRPr="00E42A54" w:rsidRDefault="00112EDC" w:rsidP="00127F44">
            <w:pPr>
              <w:pStyle w:val="NoSpacing"/>
              <w:tabs>
                <w:tab w:val="decimal" w:pos="342"/>
              </w:tabs>
              <w:rPr>
                <w:color w:val="000000"/>
                <w:szCs w:val="24"/>
              </w:rPr>
            </w:pPr>
            <w:r w:rsidRPr="00E42A54">
              <w:rPr>
                <w:color w:val="000000"/>
                <w:szCs w:val="24"/>
              </w:rPr>
              <w:t>3.37</w:t>
            </w:r>
          </w:p>
        </w:tc>
        <w:tc>
          <w:tcPr>
            <w:tcW w:w="848" w:type="dxa"/>
            <w:tcBorders>
              <w:top w:val="nil"/>
              <w:left w:val="nil"/>
              <w:bottom w:val="nil"/>
              <w:right w:val="nil"/>
            </w:tcBorders>
            <w:shd w:val="clear" w:color="auto" w:fill="auto"/>
            <w:noWrap/>
            <w:vAlign w:val="center"/>
            <w:hideMark/>
          </w:tcPr>
          <w:p w14:paraId="223A0E30" w14:textId="77777777" w:rsidR="00112EDC" w:rsidRPr="00E42A54" w:rsidRDefault="00112EDC" w:rsidP="00E42A54">
            <w:pPr>
              <w:pStyle w:val="NoSpacing"/>
              <w:rPr>
                <w:color w:val="000000"/>
                <w:szCs w:val="24"/>
              </w:rPr>
            </w:pPr>
            <w:r w:rsidRPr="00E42A54">
              <w:rPr>
                <w:color w:val="000000"/>
                <w:szCs w:val="24"/>
              </w:rPr>
              <w:t>0.49</w:t>
            </w:r>
          </w:p>
        </w:tc>
        <w:tc>
          <w:tcPr>
            <w:tcW w:w="960" w:type="dxa"/>
            <w:tcBorders>
              <w:top w:val="nil"/>
              <w:left w:val="nil"/>
              <w:bottom w:val="nil"/>
              <w:right w:val="nil"/>
            </w:tcBorders>
            <w:shd w:val="clear" w:color="auto" w:fill="auto"/>
            <w:noWrap/>
            <w:vAlign w:val="center"/>
            <w:hideMark/>
          </w:tcPr>
          <w:p w14:paraId="283F1331" w14:textId="77777777" w:rsidR="00112EDC" w:rsidRPr="00E42A54" w:rsidRDefault="00112EDC" w:rsidP="00127F44">
            <w:pPr>
              <w:pStyle w:val="NoSpacing"/>
              <w:tabs>
                <w:tab w:val="decimal" w:pos="312"/>
              </w:tabs>
              <w:rPr>
                <w:color w:val="000000"/>
                <w:szCs w:val="24"/>
              </w:rPr>
            </w:pPr>
            <w:r w:rsidRPr="00E42A54">
              <w:rPr>
                <w:color w:val="000000"/>
                <w:szCs w:val="24"/>
              </w:rPr>
              <w:t>0.15</w:t>
            </w:r>
          </w:p>
        </w:tc>
        <w:tc>
          <w:tcPr>
            <w:tcW w:w="960" w:type="dxa"/>
            <w:tcBorders>
              <w:top w:val="nil"/>
              <w:left w:val="nil"/>
              <w:bottom w:val="nil"/>
              <w:right w:val="nil"/>
            </w:tcBorders>
            <w:shd w:val="clear" w:color="auto" w:fill="auto"/>
            <w:noWrap/>
            <w:vAlign w:val="center"/>
            <w:hideMark/>
          </w:tcPr>
          <w:p w14:paraId="16D00AC8" w14:textId="77777777" w:rsidR="00112EDC" w:rsidRPr="00E42A54" w:rsidRDefault="00112EDC" w:rsidP="00E42A54">
            <w:pPr>
              <w:pStyle w:val="NoSpacing"/>
              <w:rPr>
                <w:color w:val="000000"/>
                <w:szCs w:val="24"/>
              </w:rPr>
            </w:pPr>
            <w:r w:rsidRPr="00E42A54">
              <w:rPr>
                <w:color w:val="000000"/>
                <w:szCs w:val="24"/>
              </w:rPr>
              <w:t>2.69</w:t>
            </w:r>
          </w:p>
        </w:tc>
      </w:tr>
      <w:tr w:rsidR="00112EDC" w:rsidRPr="00112EDC" w14:paraId="24D88BBD"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46E273DE" w14:textId="77777777" w:rsidR="00112EDC" w:rsidRPr="00E42A54" w:rsidRDefault="00112EDC" w:rsidP="00E42A54">
            <w:pPr>
              <w:pStyle w:val="NoSpacing"/>
              <w:rPr>
                <w:color w:val="000000"/>
                <w:szCs w:val="24"/>
              </w:rPr>
            </w:pPr>
            <w:r w:rsidRPr="00E42A54">
              <w:rPr>
                <w:color w:val="000000"/>
                <w:szCs w:val="24"/>
              </w:rPr>
              <w:t>1998</w:t>
            </w:r>
          </w:p>
        </w:tc>
        <w:tc>
          <w:tcPr>
            <w:tcW w:w="1072" w:type="dxa"/>
            <w:tcBorders>
              <w:top w:val="nil"/>
              <w:left w:val="nil"/>
              <w:bottom w:val="nil"/>
              <w:right w:val="nil"/>
            </w:tcBorders>
            <w:shd w:val="clear" w:color="auto" w:fill="auto"/>
            <w:noWrap/>
            <w:vAlign w:val="center"/>
            <w:hideMark/>
          </w:tcPr>
          <w:p w14:paraId="7883E14A" w14:textId="77777777" w:rsidR="00112EDC" w:rsidRPr="00E42A54" w:rsidRDefault="00112EDC" w:rsidP="00127F44">
            <w:pPr>
              <w:pStyle w:val="NoSpacing"/>
              <w:tabs>
                <w:tab w:val="decimal" w:pos="342"/>
              </w:tabs>
              <w:rPr>
                <w:color w:val="000000"/>
                <w:szCs w:val="24"/>
              </w:rPr>
            </w:pPr>
            <w:r w:rsidRPr="00E42A54">
              <w:rPr>
                <w:color w:val="000000"/>
                <w:szCs w:val="24"/>
              </w:rPr>
              <w:t>3.69</w:t>
            </w:r>
          </w:p>
        </w:tc>
        <w:tc>
          <w:tcPr>
            <w:tcW w:w="848" w:type="dxa"/>
            <w:tcBorders>
              <w:top w:val="nil"/>
              <w:left w:val="nil"/>
              <w:bottom w:val="nil"/>
              <w:right w:val="nil"/>
            </w:tcBorders>
            <w:shd w:val="clear" w:color="auto" w:fill="auto"/>
            <w:noWrap/>
            <w:vAlign w:val="center"/>
            <w:hideMark/>
          </w:tcPr>
          <w:p w14:paraId="7666C552" w14:textId="77777777" w:rsidR="00112EDC" w:rsidRPr="00E42A54" w:rsidRDefault="00112EDC" w:rsidP="00E42A54">
            <w:pPr>
              <w:pStyle w:val="NoSpacing"/>
              <w:rPr>
                <w:color w:val="000000"/>
                <w:szCs w:val="24"/>
              </w:rPr>
            </w:pPr>
            <w:r w:rsidRPr="00E42A54">
              <w:rPr>
                <w:color w:val="000000"/>
                <w:szCs w:val="24"/>
              </w:rPr>
              <w:t>0.47</w:t>
            </w:r>
          </w:p>
        </w:tc>
        <w:tc>
          <w:tcPr>
            <w:tcW w:w="960" w:type="dxa"/>
            <w:tcBorders>
              <w:top w:val="nil"/>
              <w:left w:val="nil"/>
              <w:bottom w:val="nil"/>
              <w:right w:val="nil"/>
            </w:tcBorders>
            <w:shd w:val="clear" w:color="auto" w:fill="auto"/>
            <w:noWrap/>
            <w:vAlign w:val="center"/>
            <w:hideMark/>
          </w:tcPr>
          <w:p w14:paraId="5FACDB4A" w14:textId="77777777" w:rsidR="00112EDC" w:rsidRPr="00E42A54" w:rsidRDefault="00112EDC" w:rsidP="00127F44">
            <w:pPr>
              <w:pStyle w:val="NoSpacing"/>
              <w:tabs>
                <w:tab w:val="decimal" w:pos="312"/>
              </w:tabs>
              <w:rPr>
                <w:color w:val="000000"/>
                <w:szCs w:val="24"/>
              </w:rPr>
            </w:pPr>
            <w:r w:rsidRPr="00E42A54">
              <w:rPr>
                <w:color w:val="000000"/>
                <w:szCs w:val="24"/>
              </w:rPr>
              <w:t>0.22</w:t>
            </w:r>
          </w:p>
        </w:tc>
        <w:tc>
          <w:tcPr>
            <w:tcW w:w="960" w:type="dxa"/>
            <w:tcBorders>
              <w:top w:val="nil"/>
              <w:left w:val="nil"/>
              <w:bottom w:val="nil"/>
              <w:right w:val="nil"/>
            </w:tcBorders>
            <w:shd w:val="clear" w:color="auto" w:fill="auto"/>
            <w:noWrap/>
            <w:vAlign w:val="center"/>
            <w:hideMark/>
          </w:tcPr>
          <w:p w14:paraId="05659382" w14:textId="77777777" w:rsidR="00112EDC" w:rsidRPr="00E42A54" w:rsidRDefault="00112EDC" w:rsidP="00E42A54">
            <w:pPr>
              <w:pStyle w:val="NoSpacing"/>
              <w:rPr>
                <w:color w:val="000000"/>
                <w:szCs w:val="24"/>
              </w:rPr>
            </w:pPr>
            <w:r w:rsidRPr="00E42A54">
              <w:rPr>
                <w:color w:val="000000"/>
                <w:szCs w:val="24"/>
              </w:rPr>
              <w:t>2.06</w:t>
            </w:r>
          </w:p>
        </w:tc>
      </w:tr>
      <w:tr w:rsidR="00112EDC" w:rsidRPr="00112EDC" w14:paraId="03581249"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22759D44" w14:textId="77777777" w:rsidR="00112EDC" w:rsidRPr="00E42A54" w:rsidRDefault="00112EDC" w:rsidP="00E42A54">
            <w:pPr>
              <w:pStyle w:val="NoSpacing"/>
              <w:rPr>
                <w:color w:val="000000"/>
                <w:szCs w:val="24"/>
              </w:rPr>
            </w:pPr>
            <w:r w:rsidRPr="00E42A54">
              <w:rPr>
                <w:color w:val="000000"/>
                <w:szCs w:val="24"/>
              </w:rPr>
              <w:t>1999</w:t>
            </w:r>
          </w:p>
        </w:tc>
        <w:tc>
          <w:tcPr>
            <w:tcW w:w="1072" w:type="dxa"/>
            <w:tcBorders>
              <w:top w:val="nil"/>
              <w:left w:val="nil"/>
              <w:bottom w:val="nil"/>
              <w:right w:val="nil"/>
            </w:tcBorders>
            <w:shd w:val="clear" w:color="auto" w:fill="auto"/>
            <w:noWrap/>
            <w:vAlign w:val="center"/>
            <w:hideMark/>
          </w:tcPr>
          <w:p w14:paraId="151EF7BF" w14:textId="77777777" w:rsidR="00112EDC" w:rsidRPr="00E42A54" w:rsidRDefault="00112EDC" w:rsidP="00127F44">
            <w:pPr>
              <w:pStyle w:val="NoSpacing"/>
              <w:tabs>
                <w:tab w:val="decimal" w:pos="342"/>
              </w:tabs>
              <w:rPr>
                <w:color w:val="000000"/>
                <w:szCs w:val="24"/>
              </w:rPr>
            </w:pPr>
            <w:r w:rsidRPr="00E42A54">
              <w:rPr>
                <w:color w:val="000000"/>
                <w:szCs w:val="24"/>
              </w:rPr>
              <w:t>3.79</w:t>
            </w:r>
          </w:p>
        </w:tc>
        <w:tc>
          <w:tcPr>
            <w:tcW w:w="848" w:type="dxa"/>
            <w:tcBorders>
              <w:top w:val="nil"/>
              <w:left w:val="nil"/>
              <w:bottom w:val="nil"/>
              <w:right w:val="nil"/>
            </w:tcBorders>
            <w:shd w:val="clear" w:color="auto" w:fill="auto"/>
            <w:noWrap/>
            <w:vAlign w:val="center"/>
            <w:hideMark/>
          </w:tcPr>
          <w:p w14:paraId="60131D25" w14:textId="77777777" w:rsidR="00112EDC" w:rsidRPr="00E42A54" w:rsidRDefault="00112EDC" w:rsidP="00E42A54">
            <w:pPr>
              <w:pStyle w:val="NoSpacing"/>
              <w:rPr>
                <w:color w:val="000000"/>
                <w:szCs w:val="24"/>
              </w:rPr>
            </w:pPr>
            <w:r w:rsidRPr="00E42A54">
              <w:rPr>
                <w:color w:val="000000"/>
                <w:szCs w:val="24"/>
              </w:rPr>
              <w:t>0.45</w:t>
            </w:r>
          </w:p>
        </w:tc>
        <w:tc>
          <w:tcPr>
            <w:tcW w:w="960" w:type="dxa"/>
            <w:tcBorders>
              <w:top w:val="nil"/>
              <w:left w:val="nil"/>
              <w:bottom w:val="nil"/>
              <w:right w:val="nil"/>
            </w:tcBorders>
            <w:shd w:val="clear" w:color="auto" w:fill="auto"/>
            <w:noWrap/>
            <w:vAlign w:val="center"/>
            <w:hideMark/>
          </w:tcPr>
          <w:p w14:paraId="58520E93" w14:textId="77777777" w:rsidR="00112EDC" w:rsidRPr="00E42A54" w:rsidRDefault="00112EDC" w:rsidP="00127F44">
            <w:pPr>
              <w:pStyle w:val="NoSpacing"/>
              <w:tabs>
                <w:tab w:val="decimal" w:pos="312"/>
              </w:tabs>
              <w:rPr>
                <w:color w:val="000000"/>
                <w:szCs w:val="24"/>
              </w:rPr>
            </w:pPr>
            <w:r w:rsidRPr="00E42A54">
              <w:rPr>
                <w:color w:val="000000"/>
                <w:szCs w:val="24"/>
              </w:rPr>
              <w:t>0.22</w:t>
            </w:r>
          </w:p>
        </w:tc>
        <w:tc>
          <w:tcPr>
            <w:tcW w:w="960" w:type="dxa"/>
            <w:tcBorders>
              <w:top w:val="nil"/>
              <w:left w:val="nil"/>
              <w:bottom w:val="nil"/>
              <w:right w:val="nil"/>
            </w:tcBorders>
            <w:shd w:val="clear" w:color="auto" w:fill="auto"/>
            <w:noWrap/>
            <w:vAlign w:val="center"/>
            <w:hideMark/>
          </w:tcPr>
          <w:p w14:paraId="5F05FA16" w14:textId="77777777" w:rsidR="00112EDC" w:rsidRPr="00E42A54" w:rsidRDefault="00112EDC" w:rsidP="00E42A54">
            <w:pPr>
              <w:pStyle w:val="NoSpacing"/>
              <w:rPr>
                <w:color w:val="000000"/>
                <w:szCs w:val="24"/>
              </w:rPr>
            </w:pPr>
            <w:r w:rsidRPr="00E42A54">
              <w:rPr>
                <w:color w:val="000000"/>
                <w:szCs w:val="24"/>
              </w:rPr>
              <w:t>2.09</w:t>
            </w:r>
          </w:p>
        </w:tc>
      </w:tr>
      <w:tr w:rsidR="00112EDC" w:rsidRPr="00112EDC" w14:paraId="2E0D4292"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64C22A66" w14:textId="77777777" w:rsidR="00112EDC" w:rsidRPr="00E42A54" w:rsidRDefault="00112EDC" w:rsidP="00E42A54">
            <w:pPr>
              <w:pStyle w:val="NoSpacing"/>
              <w:rPr>
                <w:color w:val="000000"/>
                <w:szCs w:val="24"/>
              </w:rPr>
            </w:pPr>
            <w:r w:rsidRPr="00E42A54">
              <w:rPr>
                <w:color w:val="000000"/>
                <w:szCs w:val="24"/>
              </w:rPr>
              <w:t>2000</w:t>
            </w:r>
          </w:p>
        </w:tc>
        <w:tc>
          <w:tcPr>
            <w:tcW w:w="1072" w:type="dxa"/>
            <w:tcBorders>
              <w:top w:val="nil"/>
              <w:left w:val="nil"/>
              <w:bottom w:val="nil"/>
              <w:right w:val="nil"/>
            </w:tcBorders>
            <w:shd w:val="clear" w:color="auto" w:fill="auto"/>
            <w:noWrap/>
            <w:vAlign w:val="center"/>
            <w:hideMark/>
          </w:tcPr>
          <w:p w14:paraId="07E16785" w14:textId="77777777" w:rsidR="00112EDC" w:rsidRPr="00E42A54" w:rsidRDefault="00112EDC" w:rsidP="00127F44">
            <w:pPr>
              <w:pStyle w:val="NoSpacing"/>
              <w:tabs>
                <w:tab w:val="decimal" w:pos="342"/>
              </w:tabs>
              <w:rPr>
                <w:color w:val="000000"/>
                <w:szCs w:val="24"/>
              </w:rPr>
            </w:pPr>
            <w:r w:rsidRPr="00E42A54">
              <w:rPr>
                <w:color w:val="000000"/>
                <w:szCs w:val="24"/>
              </w:rPr>
              <w:t>4.12</w:t>
            </w:r>
          </w:p>
        </w:tc>
        <w:tc>
          <w:tcPr>
            <w:tcW w:w="848" w:type="dxa"/>
            <w:tcBorders>
              <w:top w:val="nil"/>
              <w:left w:val="nil"/>
              <w:bottom w:val="nil"/>
              <w:right w:val="nil"/>
            </w:tcBorders>
            <w:shd w:val="clear" w:color="auto" w:fill="auto"/>
            <w:noWrap/>
            <w:vAlign w:val="center"/>
            <w:hideMark/>
          </w:tcPr>
          <w:p w14:paraId="6D4D1256" w14:textId="77777777" w:rsidR="00112EDC" w:rsidRPr="00E42A54" w:rsidRDefault="00112EDC" w:rsidP="00E42A54">
            <w:pPr>
              <w:pStyle w:val="NoSpacing"/>
              <w:rPr>
                <w:color w:val="000000"/>
                <w:szCs w:val="24"/>
              </w:rPr>
            </w:pPr>
            <w:r w:rsidRPr="00E42A54">
              <w:rPr>
                <w:color w:val="000000"/>
                <w:szCs w:val="24"/>
              </w:rPr>
              <w:t>0.43</w:t>
            </w:r>
          </w:p>
        </w:tc>
        <w:tc>
          <w:tcPr>
            <w:tcW w:w="960" w:type="dxa"/>
            <w:tcBorders>
              <w:top w:val="nil"/>
              <w:left w:val="nil"/>
              <w:bottom w:val="nil"/>
              <w:right w:val="nil"/>
            </w:tcBorders>
            <w:shd w:val="clear" w:color="auto" w:fill="auto"/>
            <w:noWrap/>
            <w:vAlign w:val="center"/>
            <w:hideMark/>
          </w:tcPr>
          <w:p w14:paraId="40C54FD9" w14:textId="77777777" w:rsidR="00112EDC" w:rsidRPr="00E42A54" w:rsidRDefault="00112EDC" w:rsidP="00127F44">
            <w:pPr>
              <w:pStyle w:val="NoSpacing"/>
              <w:tabs>
                <w:tab w:val="decimal" w:pos="312"/>
              </w:tabs>
              <w:rPr>
                <w:color w:val="000000"/>
                <w:szCs w:val="24"/>
              </w:rPr>
            </w:pPr>
            <w:r w:rsidRPr="00E42A54">
              <w:rPr>
                <w:color w:val="000000"/>
                <w:szCs w:val="24"/>
              </w:rPr>
              <w:t>0.20</w:t>
            </w:r>
          </w:p>
        </w:tc>
        <w:tc>
          <w:tcPr>
            <w:tcW w:w="960" w:type="dxa"/>
            <w:tcBorders>
              <w:top w:val="nil"/>
              <w:left w:val="nil"/>
              <w:bottom w:val="nil"/>
              <w:right w:val="nil"/>
            </w:tcBorders>
            <w:shd w:val="clear" w:color="auto" w:fill="auto"/>
            <w:noWrap/>
            <w:vAlign w:val="center"/>
            <w:hideMark/>
          </w:tcPr>
          <w:p w14:paraId="6C95132B" w14:textId="77777777" w:rsidR="00112EDC" w:rsidRPr="00E42A54" w:rsidRDefault="00112EDC" w:rsidP="00E42A54">
            <w:pPr>
              <w:pStyle w:val="NoSpacing"/>
              <w:rPr>
                <w:color w:val="000000"/>
                <w:szCs w:val="24"/>
              </w:rPr>
            </w:pPr>
            <w:r w:rsidRPr="00E42A54">
              <w:rPr>
                <w:color w:val="000000"/>
                <w:szCs w:val="24"/>
              </w:rPr>
              <w:t>2.25</w:t>
            </w:r>
          </w:p>
        </w:tc>
      </w:tr>
      <w:tr w:rsidR="00112EDC" w:rsidRPr="00112EDC" w14:paraId="12A4BCCB"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4DBFAEE2" w14:textId="77777777" w:rsidR="00112EDC" w:rsidRPr="00E42A54" w:rsidRDefault="00112EDC" w:rsidP="00E42A54">
            <w:pPr>
              <w:pStyle w:val="NoSpacing"/>
              <w:rPr>
                <w:color w:val="000000"/>
                <w:szCs w:val="24"/>
              </w:rPr>
            </w:pPr>
            <w:r w:rsidRPr="00E42A54">
              <w:rPr>
                <w:color w:val="000000"/>
                <w:szCs w:val="24"/>
              </w:rPr>
              <w:t>2001</w:t>
            </w:r>
          </w:p>
        </w:tc>
        <w:tc>
          <w:tcPr>
            <w:tcW w:w="1072" w:type="dxa"/>
            <w:tcBorders>
              <w:top w:val="nil"/>
              <w:left w:val="nil"/>
              <w:bottom w:val="nil"/>
              <w:right w:val="nil"/>
            </w:tcBorders>
            <w:shd w:val="clear" w:color="auto" w:fill="auto"/>
            <w:noWrap/>
            <w:vAlign w:val="center"/>
            <w:hideMark/>
          </w:tcPr>
          <w:p w14:paraId="4DA4F7C1" w14:textId="77777777" w:rsidR="00112EDC" w:rsidRPr="00E42A54" w:rsidRDefault="00112EDC" w:rsidP="00127F44">
            <w:pPr>
              <w:pStyle w:val="NoSpacing"/>
              <w:tabs>
                <w:tab w:val="decimal" w:pos="342"/>
              </w:tabs>
              <w:rPr>
                <w:color w:val="000000"/>
                <w:szCs w:val="24"/>
              </w:rPr>
            </w:pPr>
            <w:r w:rsidRPr="00E42A54">
              <w:rPr>
                <w:color w:val="000000"/>
                <w:szCs w:val="24"/>
              </w:rPr>
              <w:t>-</w:t>
            </w:r>
          </w:p>
        </w:tc>
        <w:tc>
          <w:tcPr>
            <w:tcW w:w="848" w:type="dxa"/>
            <w:tcBorders>
              <w:top w:val="nil"/>
              <w:left w:val="nil"/>
              <w:bottom w:val="nil"/>
              <w:right w:val="nil"/>
            </w:tcBorders>
            <w:shd w:val="clear" w:color="auto" w:fill="auto"/>
            <w:noWrap/>
            <w:vAlign w:val="center"/>
            <w:hideMark/>
          </w:tcPr>
          <w:p w14:paraId="4CC19748" w14:textId="77777777" w:rsidR="00112EDC" w:rsidRPr="00E42A54" w:rsidRDefault="00112EDC" w:rsidP="00E42A54">
            <w:pPr>
              <w:pStyle w:val="NoSpacing"/>
              <w:rPr>
                <w:color w:val="000000"/>
                <w:szCs w:val="24"/>
              </w:rPr>
            </w:pPr>
            <w:r w:rsidRPr="00E42A54">
              <w:rPr>
                <w:color w:val="000000"/>
                <w:szCs w:val="24"/>
              </w:rPr>
              <w:t>-</w:t>
            </w:r>
          </w:p>
        </w:tc>
        <w:tc>
          <w:tcPr>
            <w:tcW w:w="960" w:type="dxa"/>
            <w:tcBorders>
              <w:top w:val="nil"/>
              <w:left w:val="nil"/>
              <w:bottom w:val="nil"/>
              <w:right w:val="nil"/>
            </w:tcBorders>
            <w:shd w:val="clear" w:color="auto" w:fill="auto"/>
            <w:noWrap/>
            <w:vAlign w:val="center"/>
            <w:hideMark/>
          </w:tcPr>
          <w:p w14:paraId="39D57BC6" w14:textId="77777777" w:rsidR="00112EDC" w:rsidRPr="00E42A54" w:rsidRDefault="00112EDC" w:rsidP="00127F44">
            <w:pPr>
              <w:pStyle w:val="NoSpacing"/>
              <w:tabs>
                <w:tab w:val="decimal" w:pos="312"/>
              </w:tabs>
              <w:rPr>
                <w:color w:val="000000"/>
                <w:szCs w:val="24"/>
              </w:rPr>
            </w:pPr>
            <w:r w:rsidRPr="00E42A54">
              <w:rPr>
                <w:color w:val="000000"/>
                <w:szCs w:val="24"/>
              </w:rPr>
              <w:t>0.19</w:t>
            </w:r>
          </w:p>
        </w:tc>
        <w:tc>
          <w:tcPr>
            <w:tcW w:w="960" w:type="dxa"/>
            <w:tcBorders>
              <w:top w:val="nil"/>
              <w:left w:val="nil"/>
              <w:bottom w:val="nil"/>
              <w:right w:val="nil"/>
            </w:tcBorders>
            <w:shd w:val="clear" w:color="auto" w:fill="auto"/>
            <w:noWrap/>
            <w:vAlign w:val="center"/>
            <w:hideMark/>
          </w:tcPr>
          <w:p w14:paraId="4DFA33DE" w14:textId="77777777" w:rsidR="00112EDC" w:rsidRPr="00E42A54" w:rsidRDefault="00112EDC" w:rsidP="00E42A54">
            <w:pPr>
              <w:pStyle w:val="NoSpacing"/>
              <w:rPr>
                <w:color w:val="000000"/>
                <w:szCs w:val="24"/>
              </w:rPr>
            </w:pPr>
            <w:r w:rsidRPr="00E42A54">
              <w:rPr>
                <w:color w:val="000000"/>
                <w:szCs w:val="24"/>
              </w:rPr>
              <w:t>2.30</w:t>
            </w:r>
          </w:p>
        </w:tc>
      </w:tr>
      <w:tr w:rsidR="00112EDC" w:rsidRPr="00112EDC" w14:paraId="6083317D"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54EB75DC" w14:textId="77777777" w:rsidR="00112EDC" w:rsidRPr="00E42A54" w:rsidRDefault="00112EDC" w:rsidP="00E42A54">
            <w:pPr>
              <w:pStyle w:val="NoSpacing"/>
              <w:rPr>
                <w:color w:val="000000"/>
                <w:szCs w:val="24"/>
              </w:rPr>
            </w:pPr>
            <w:r w:rsidRPr="00E42A54">
              <w:rPr>
                <w:color w:val="000000"/>
                <w:szCs w:val="24"/>
              </w:rPr>
              <w:t>2002</w:t>
            </w:r>
          </w:p>
        </w:tc>
        <w:tc>
          <w:tcPr>
            <w:tcW w:w="1072" w:type="dxa"/>
            <w:tcBorders>
              <w:top w:val="nil"/>
              <w:left w:val="nil"/>
              <w:bottom w:val="nil"/>
              <w:right w:val="nil"/>
            </w:tcBorders>
            <w:shd w:val="clear" w:color="auto" w:fill="auto"/>
            <w:noWrap/>
            <w:vAlign w:val="center"/>
            <w:hideMark/>
          </w:tcPr>
          <w:p w14:paraId="68156903" w14:textId="77777777" w:rsidR="00112EDC" w:rsidRPr="00E42A54" w:rsidRDefault="00112EDC" w:rsidP="00127F44">
            <w:pPr>
              <w:pStyle w:val="NoSpacing"/>
              <w:tabs>
                <w:tab w:val="decimal" w:pos="342"/>
              </w:tabs>
              <w:rPr>
                <w:color w:val="000000"/>
                <w:szCs w:val="24"/>
              </w:rPr>
            </w:pPr>
            <w:r w:rsidRPr="00E42A54">
              <w:rPr>
                <w:color w:val="000000"/>
                <w:szCs w:val="24"/>
              </w:rPr>
              <w:t>-</w:t>
            </w:r>
          </w:p>
        </w:tc>
        <w:tc>
          <w:tcPr>
            <w:tcW w:w="848" w:type="dxa"/>
            <w:tcBorders>
              <w:top w:val="nil"/>
              <w:left w:val="nil"/>
              <w:bottom w:val="nil"/>
              <w:right w:val="nil"/>
            </w:tcBorders>
            <w:shd w:val="clear" w:color="auto" w:fill="auto"/>
            <w:noWrap/>
            <w:vAlign w:val="center"/>
            <w:hideMark/>
          </w:tcPr>
          <w:p w14:paraId="186A8E1B" w14:textId="77777777" w:rsidR="00112EDC" w:rsidRPr="00E42A54" w:rsidRDefault="00112EDC" w:rsidP="00E42A54">
            <w:pPr>
              <w:pStyle w:val="NoSpacing"/>
              <w:rPr>
                <w:color w:val="000000"/>
                <w:szCs w:val="24"/>
              </w:rPr>
            </w:pPr>
            <w:r w:rsidRPr="00E42A54">
              <w:rPr>
                <w:color w:val="000000"/>
                <w:szCs w:val="24"/>
              </w:rPr>
              <w:t>-</w:t>
            </w:r>
          </w:p>
        </w:tc>
        <w:tc>
          <w:tcPr>
            <w:tcW w:w="960" w:type="dxa"/>
            <w:tcBorders>
              <w:top w:val="nil"/>
              <w:left w:val="nil"/>
              <w:bottom w:val="nil"/>
              <w:right w:val="nil"/>
            </w:tcBorders>
            <w:shd w:val="clear" w:color="auto" w:fill="auto"/>
            <w:noWrap/>
            <w:vAlign w:val="center"/>
            <w:hideMark/>
          </w:tcPr>
          <w:p w14:paraId="4ADA5882" w14:textId="77777777" w:rsidR="00112EDC" w:rsidRPr="00E42A54" w:rsidRDefault="00112EDC" w:rsidP="00127F44">
            <w:pPr>
              <w:pStyle w:val="NoSpacing"/>
              <w:tabs>
                <w:tab w:val="decimal" w:pos="312"/>
              </w:tabs>
              <w:rPr>
                <w:color w:val="000000"/>
                <w:szCs w:val="24"/>
              </w:rPr>
            </w:pPr>
            <w:r w:rsidRPr="00E42A54">
              <w:rPr>
                <w:color w:val="000000"/>
                <w:szCs w:val="24"/>
              </w:rPr>
              <w:t>0.25</w:t>
            </w:r>
          </w:p>
        </w:tc>
        <w:tc>
          <w:tcPr>
            <w:tcW w:w="960" w:type="dxa"/>
            <w:tcBorders>
              <w:top w:val="nil"/>
              <w:left w:val="nil"/>
              <w:bottom w:val="nil"/>
              <w:right w:val="nil"/>
            </w:tcBorders>
            <w:shd w:val="clear" w:color="auto" w:fill="auto"/>
            <w:noWrap/>
            <w:vAlign w:val="center"/>
            <w:hideMark/>
          </w:tcPr>
          <w:p w14:paraId="35823DA2" w14:textId="77777777" w:rsidR="00112EDC" w:rsidRPr="00E42A54" w:rsidRDefault="00112EDC" w:rsidP="00E42A54">
            <w:pPr>
              <w:pStyle w:val="NoSpacing"/>
              <w:rPr>
                <w:color w:val="000000"/>
                <w:szCs w:val="24"/>
              </w:rPr>
            </w:pPr>
            <w:r w:rsidRPr="00E42A54">
              <w:rPr>
                <w:color w:val="000000"/>
                <w:szCs w:val="24"/>
              </w:rPr>
              <w:t>1.95</w:t>
            </w:r>
          </w:p>
        </w:tc>
      </w:tr>
      <w:tr w:rsidR="00112EDC" w:rsidRPr="00112EDC" w14:paraId="4E4B98A4"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240E66BF" w14:textId="77777777" w:rsidR="00112EDC" w:rsidRPr="00E42A54" w:rsidRDefault="00112EDC" w:rsidP="00E42A54">
            <w:pPr>
              <w:pStyle w:val="NoSpacing"/>
              <w:rPr>
                <w:color w:val="000000"/>
                <w:szCs w:val="24"/>
              </w:rPr>
            </w:pPr>
            <w:r w:rsidRPr="00E42A54">
              <w:rPr>
                <w:color w:val="000000"/>
                <w:szCs w:val="24"/>
              </w:rPr>
              <w:t>2003</w:t>
            </w:r>
          </w:p>
        </w:tc>
        <w:tc>
          <w:tcPr>
            <w:tcW w:w="1072" w:type="dxa"/>
            <w:tcBorders>
              <w:top w:val="nil"/>
              <w:left w:val="nil"/>
              <w:bottom w:val="nil"/>
              <w:right w:val="nil"/>
            </w:tcBorders>
            <w:shd w:val="clear" w:color="auto" w:fill="auto"/>
            <w:noWrap/>
            <w:vAlign w:val="center"/>
            <w:hideMark/>
          </w:tcPr>
          <w:p w14:paraId="57887B29" w14:textId="77777777" w:rsidR="00112EDC" w:rsidRPr="00E42A54" w:rsidRDefault="00112EDC" w:rsidP="00127F44">
            <w:pPr>
              <w:pStyle w:val="NoSpacing"/>
              <w:tabs>
                <w:tab w:val="decimal" w:pos="342"/>
              </w:tabs>
              <w:rPr>
                <w:color w:val="000000"/>
                <w:szCs w:val="24"/>
              </w:rPr>
            </w:pPr>
            <w:r w:rsidRPr="00E42A54">
              <w:rPr>
                <w:color w:val="000000"/>
                <w:szCs w:val="24"/>
              </w:rPr>
              <w:t>-</w:t>
            </w:r>
          </w:p>
        </w:tc>
        <w:tc>
          <w:tcPr>
            <w:tcW w:w="848" w:type="dxa"/>
            <w:tcBorders>
              <w:top w:val="nil"/>
              <w:left w:val="nil"/>
              <w:bottom w:val="nil"/>
              <w:right w:val="nil"/>
            </w:tcBorders>
            <w:shd w:val="clear" w:color="auto" w:fill="auto"/>
            <w:noWrap/>
            <w:vAlign w:val="center"/>
            <w:hideMark/>
          </w:tcPr>
          <w:p w14:paraId="29E9C291" w14:textId="77777777" w:rsidR="00112EDC" w:rsidRPr="00E42A54" w:rsidRDefault="00112EDC" w:rsidP="00E42A54">
            <w:pPr>
              <w:pStyle w:val="NoSpacing"/>
              <w:rPr>
                <w:color w:val="000000"/>
                <w:szCs w:val="24"/>
              </w:rPr>
            </w:pPr>
            <w:r w:rsidRPr="00E42A54">
              <w:rPr>
                <w:color w:val="000000"/>
                <w:szCs w:val="24"/>
              </w:rPr>
              <w:t>-</w:t>
            </w:r>
          </w:p>
        </w:tc>
        <w:tc>
          <w:tcPr>
            <w:tcW w:w="960" w:type="dxa"/>
            <w:tcBorders>
              <w:top w:val="nil"/>
              <w:left w:val="nil"/>
              <w:bottom w:val="nil"/>
              <w:right w:val="nil"/>
            </w:tcBorders>
            <w:shd w:val="clear" w:color="auto" w:fill="auto"/>
            <w:noWrap/>
            <w:vAlign w:val="center"/>
            <w:hideMark/>
          </w:tcPr>
          <w:p w14:paraId="07D9F305" w14:textId="77777777" w:rsidR="00112EDC" w:rsidRPr="00E42A54" w:rsidRDefault="00112EDC" w:rsidP="00127F44">
            <w:pPr>
              <w:pStyle w:val="NoSpacing"/>
              <w:tabs>
                <w:tab w:val="decimal" w:pos="312"/>
              </w:tabs>
              <w:rPr>
                <w:color w:val="000000"/>
                <w:szCs w:val="24"/>
              </w:rPr>
            </w:pPr>
            <w:r w:rsidRPr="00E42A54">
              <w:rPr>
                <w:color w:val="000000"/>
                <w:szCs w:val="24"/>
              </w:rPr>
              <w:t>0.23</w:t>
            </w:r>
          </w:p>
        </w:tc>
        <w:tc>
          <w:tcPr>
            <w:tcW w:w="960" w:type="dxa"/>
            <w:tcBorders>
              <w:top w:val="nil"/>
              <w:left w:val="nil"/>
              <w:bottom w:val="nil"/>
              <w:right w:val="nil"/>
            </w:tcBorders>
            <w:shd w:val="clear" w:color="auto" w:fill="auto"/>
            <w:noWrap/>
            <w:vAlign w:val="center"/>
            <w:hideMark/>
          </w:tcPr>
          <w:p w14:paraId="4F4CBF16" w14:textId="77777777" w:rsidR="00112EDC" w:rsidRPr="00E42A54" w:rsidRDefault="00112EDC" w:rsidP="00E42A54">
            <w:pPr>
              <w:pStyle w:val="NoSpacing"/>
              <w:rPr>
                <w:color w:val="000000"/>
                <w:szCs w:val="24"/>
              </w:rPr>
            </w:pPr>
            <w:r w:rsidRPr="00E42A54">
              <w:rPr>
                <w:color w:val="000000"/>
                <w:szCs w:val="24"/>
              </w:rPr>
              <w:t>2.04</w:t>
            </w:r>
          </w:p>
        </w:tc>
      </w:tr>
      <w:tr w:rsidR="00112EDC" w:rsidRPr="00112EDC" w14:paraId="7523D5A2"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452BA9C3" w14:textId="77777777" w:rsidR="00112EDC" w:rsidRPr="00E42A54" w:rsidRDefault="00112EDC" w:rsidP="00E42A54">
            <w:pPr>
              <w:pStyle w:val="NoSpacing"/>
              <w:rPr>
                <w:color w:val="000000"/>
                <w:szCs w:val="24"/>
              </w:rPr>
            </w:pPr>
            <w:r w:rsidRPr="00E42A54">
              <w:rPr>
                <w:color w:val="000000"/>
                <w:szCs w:val="24"/>
              </w:rPr>
              <w:t>2004</w:t>
            </w:r>
          </w:p>
        </w:tc>
        <w:tc>
          <w:tcPr>
            <w:tcW w:w="1072" w:type="dxa"/>
            <w:tcBorders>
              <w:top w:val="nil"/>
              <w:left w:val="nil"/>
              <w:bottom w:val="nil"/>
              <w:right w:val="nil"/>
            </w:tcBorders>
            <w:shd w:val="clear" w:color="auto" w:fill="auto"/>
            <w:noWrap/>
            <w:vAlign w:val="center"/>
            <w:hideMark/>
          </w:tcPr>
          <w:p w14:paraId="371C840B" w14:textId="77777777" w:rsidR="00112EDC" w:rsidRPr="00E42A54" w:rsidRDefault="00112EDC" w:rsidP="00127F44">
            <w:pPr>
              <w:pStyle w:val="NoSpacing"/>
              <w:tabs>
                <w:tab w:val="decimal" w:pos="342"/>
              </w:tabs>
              <w:rPr>
                <w:color w:val="000000"/>
                <w:szCs w:val="24"/>
              </w:rPr>
            </w:pPr>
            <w:r w:rsidRPr="00E42A54">
              <w:rPr>
                <w:color w:val="000000"/>
                <w:szCs w:val="24"/>
              </w:rPr>
              <w:t>-</w:t>
            </w:r>
          </w:p>
        </w:tc>
        <w:tc>
          <w:tcPr>
            <w:tcW w:w="848" w:type="dxa"/>
            <w:tcBorders>
              <w:top w:val="nil"/>
              <w:left w:val="nil"/>
              <w:bottom w:val="nil"/>
              <w:right w:val="nil"/>
            </w:tcBorders>
            <w:shd w:val="clear" w:color="auto" w:fill="auto"/>
            <w:noWrap/>
            <w:vAlign w:val="center"/>
            <w:hideMark/>
          </w:tcPr>
          <w:p w14:paraId="5C026A8B" w14:textId="77777777" w:rsidR="00112EDC" w:rsidRPr="00E42A54" w:rsidRDefault="00112EDC" w:rsidP="00E42A54">
            <w:pPr>
              <w:pStyle w:val="NoSpacing"/>
              <w:rPr>
                <w:color w:val="000000"/>
                <w:szCs w:val="24"/>
              </w:rPr>
            </w:pPr>
            <w:r w:rsidRPr="00E42A54">
              <w:rPr>
                <w:color w:val="000000"/>
                <w:szCs w:val="24"/>
              </w:rPr>
              <w:t>-</w:t>
            </w:r>
          </w:p>
        </w:tc>
        <w:tc>
          <w:tcPr>
            <w:tcW w:w="960" w:type="dxa"/>
            <w:tcBorders>
              <w:top w:val="nil"/>
              <w:left w:val="nil"/>
              <w:bottom w:val="nil"/>
              <w:right w:val="nil"/>
            </w:tcBorders>
            <w:shd w:val="clear" w:color="auto" w:fill="auto"/>
            <w:noWrap/>
            <w:vAlign w:val="center"/>
            <w:hideMark/>
          </w:tcPr>
          <w:p w14:paraId="63BE3A73" w14:textId="77777777" w:rsidR="00112EDC" w:rsidRPr="00E42A54" w:rsidRDefault="00112EDC" w:rsidP="00127F44">
            <w:pPr>
              <w:pStyle w:val="NoSpacing"/>
              <w:tabs>
                <w:tab w:val="decimal" w:pos="312"/>
              </w:tabs>
              <w:rPr>
                <w:color w:val="000000"/>
                <w:szCs w:val="24"/>
              </w:rPr>
            </w:pPr>
            <w:r w:rsidRPr="00E42A54">
              <w:rPr>
                <w:color w:val="000000"/>
                <w:szCs w:val="24"/>
              </w:rPr>
              <w:t>0.26</w:t>
            </w:r>
          </w:p>
        </w:tc>
        <w:tc>
          <w:tcPr>
            <w:tcW w:w="960" w:type="dxa"/>
            <w:tcBorders>
              <w:top w:val="nil"/>
              <w:left w:val="nil"/>
              <w:bottom w:val="nil"/>
              <w:right w:val="nil"/>
            </w:tcBorders>
            <w:shd w:val="clear" w:color="auto" w:fill="auto"/>
            <w:noWrap/>
            <w:vAlign w:val="center"/>
            <w:hideMark/>
          </w:tcPr>
          <w:p w14:paraId="13D53375" w14:textId="77777777" w:rsidR="00112EDC" w:rsidRPr="00E42A54" w:rsidRDefault="00112EDC" w:rsidP="00E42A54">
            <w:pPr>
              <w:pStyle w:val="NoSpacing"/>
              <w:rPr>
                <w:color w:val="000000"/>
                <w:szCs w:val="24"/>
              </w:rPr>
            </w:pPr>
            <w:r w:rsidRPr="00E42A54">
              <w:rPr>
                <w:color w:val="000000"/>
                <w:szCs w:val="24"/>
              </w:rPr>
              <w:t>1.86</w:t>
            </w:r>
          </w:p>
        </w:tc>
      </w:tr>
      <w:tr w:rsidR="00112EDC" w:rsidRPr="00112EDC" w14:paraId="3C4010DD"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7AC7A8A6" w14:textId="77777777" w:rsidR="00112EDC" w:rsidRPr="00E42A54" w:rsidRDefault="00112EDC" w:rsidP="00E42A54">
            <w:pPr>
              <w:pStyle w:val="NoSpacing"/>
              <w:rPr>
                <w:color w:val="000000"/>
                <w:szCs w:val="24"/>
              </w:rPr>
            </w:pPr>
            <w:r w:rsidRPr="00E42A54">
              <w:rPr>
                <w:color w:val="000000"/>
                <w:szCs w:val="24"/>
              </w:rPr>
              <w:t>2005</w:t>
            </w:r>
          </w:p>
        </w:tc>
        <w:tc>
          <w:tcPr>
            <w:tcW w:w="1072" w:type="dxa"/>
            <w:tcBorders>
              <w:top w:val="nil"/>
              <w:left w:val="nil"/>
              <w:bottom w:val="nil"/>
              <w:right w:val="nil"/>
            </w:tcBorders>
            <w:shd w:val="clear" w:color="auto" w:fill="auto"/>
            <w:noWrap/>
            <w:vAlign w:val="center"/>
            <w:hideMark/>
          </w:tcPr>
          <w:p w14:paraId="589DF1CC" w14:textId="77777777" w:rsidR="00112EDC" w:rsidRPr="00E42A54" w:rsidRDefault="00112EDC" w:rsidP="00127F44">
            <w:pPr>
              <w:pStyle w:val="NoSpacing"/>
              <w:tabs>
                <w:tab w:val="decimal" w:pos="342"/>
              </w:tabs>
              <w:rPr>
                <w:color w:val="000000"/>
                <w:szCs w:val="24"/>
              </w:rPr>
            </w:pPr>
            <w:r w:rsidRPr="00E42A54">
              <w:rPr>
                <w:color w:val="000000"/>
                <w:szCs w:val="24"/>
              </w:rPr>
              <w:t>11.46</w:t>
            </w:r>
          </w:p>
        </w:tc>
        <w:tc>
          <w:tcPr>
            <w:tcW w:w="848" w:type="dxa"/>
            <w:tcBorders>
              <w:top w:val="nil"/>
              <w:left w:val="nil"/>
              <w:bottom w:val="nil"/>
              <w:right w:val="nil"/>
            </w:tcBorders>
            <w:shd w:val="clear" w:color="auto" w:fill="auto"/>
            <w:noWrap/>
            <w:vAlign w:val="center"/>
            <w:hideMark/>
          </w:tcPr>
          <w:p w14:paraId="3E5204F0" w14:textId="77777777" w:rsidR="00112EDC" w:rsidRPr="00E42A54" w:rsidRDefault="00112EDC" w:rsidP="00E42A54">
            <w:pPr>
              <w:pStyle w:val="NoSpacing"/>
              <w:rPr>
                <w:color w:val="000000"/>
                <w:szCs w:val="24"/>
              </w:rPr>
            </w:pPr>
            <w:r w:rsidRPr="00E42A54">
              <w:rPr>
                <w:color w:val="000000"/>
                <w:szCs w:val="24"/>
              </w:rPr>
              <w:t>0.03</w:t>
            </w:r>
          </w:p>
        </w:tc>
        <w:tc>
          <w:tcPr>
            <w:tcW w:w="960" w:type="dxa"/>
            <w:tcBorders>
              <w:top w:val="nil"/>
              <w:left w:val="nil"/>
              <w:bottom w:val="nil"/>
              <w:right w:val="nil"/>
            </w:tcBorders>
            <w:shd w:val="clear" w:color="auto" w:fill="auto"/>
            <w:noWrap/>
            <w:vAlign w:val="center"/>
            <w:hideMark/>
          </w:tcPr>
          <w:p w14:paraId="6B943F41" w14:textId="77777777" w:rsidR="00112EDC" w:rsidRPr="00E42A54" w:rsidRDefault="00112EDC" w:rsidP="00127F44">
            <w:pPr>
              <w:pStyle w:val="NoSpacing"/>
              <w:tabs>
                <w:tab w:val="decimal" w:pos="312"/>
              </w:tabs>
              <w:rPr>
                <w:color w:val="000000"/>
                <w:szCs w:val="24"/>
              </w:rPr>
            </w:pPr>
            <w:r w:rsidRPr="00E42A54">
              <w:rPr>
                <w:color w:val="000000"/>
                <w:szCs w:val="24"/>
              </w:rPr>
              <w:t>0.22</w:t>
            </w:r>
          </w:p>
        </w:tc>
        <w:tc>
          <w:tcPr>
            <w:tcW w:w="960" w:type="dxa"/>
            <w:tcBorders>
              <w:top w:val="nil"/>
              <w:left w:val="nil"/>
              <w:bottom w:val="nil"/>
              <w:right w:val="nil"/>
            </w:tcBorders>
            <w:shd w:val="clear" w:color="auto" w:fill="auto"/>
            <w:noWrap/>
            <w:vAlign w:val="center"/>
            <w:hideMark/>
          </w:tcPr>
          <w:p w14:paraId="314B992D" w14:textId="77777777" w:rsidR="00112EDC" w:rsidRPr="00E42A54" w:rsidRDefault="00112EDC" w:rsidP="00E42A54">
            <w:pPr>
              <w:pStyle w:val="NoSpacing"/>
              <w:rPr>
                <w:color w:val="000000"/>
                <w:szCs w:val="24"/>
              </w:rPr>
            </w:pPr>
            <w:r w:rsidRPr="00E42A54">
              <w:rPr>
                <w:color w:val="000000"/>
                <w:szCs w:val="24"/>
              </w:rPr>
              <w:t>2.09</w:t>
            </w:r>
          </w:p>
        </w:tc>
      </w:tr>
      <w:tr w:rsidR="00112EDC" w:rsidRPr="00112EDC" w14:paraId="183000D3"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00D3CD00" w14:textId="77777777" w:rsidR="00112EDC" w:rsidRPr="00E42A54" w:rsidRDefault="00112EDC" w:rsidP="00E42A54">
            <w:pPr>
              <w:pStyle w:val="NoSpacing"/>
              <w:rPr>
                <w:color w:val="000000"/>
                <w:szCs w:val="24"/>
              </w:rPr>
            </w:pPr>
            <w:r w:rsidRPr="00E42A54">
              <w:rPr>
                <w:color w:val="000000"/>
                <w:szCs w:val="24"/>
              </w:rPr>
              <w:t>2006</w:t>
            </w:r>
          </w:p>
        </w:tc>
        <w:tc>
          <w:tcPr>
            <w:tcW w:w="1072" w:type="dxa"/>
            <w:tcBorders>
              <w:top w:val="nil"/>
              <w:left w:val="nil"/>
              <w:bottom w:val="nil"/>
              <w:right w:val="nil"/>
            </w:tcBorders>
            <w:shd w:val="clear" w:color="auto" w:fill="auto"/>
            <w:noWrap/>
            <w:vAlign w:val="center"/>
            <w:hideMark/>
          </w:tcPr>
          <w:p w14:paraId="586C1CE4" w14:textId="77777777" w:rsidR="00112EDC" w:rsidRPr="00E42A54" w:rsidRDefault="00112EDC" w:rsidP="00127F44">
            <w:pPr>
              <w:pStyle w:val="NoSpacing"/>
              <w:tabs>
                <w:tab w:val="decimal" w:pos="342"/>
              </w:tabs>
              <w:rPr>
                <w:color w:val="000000"/>
                <w:szCs w:val="24"/>
              </w:rPr>
            </w:pPr>
            <w:r w:rsidRPr="00E42A54">
              <w:rPr>
                <w:color w:val="000000"/>
                <w:szCs w:val="24"/>
              </w:rPr>
              <w:t>12.13</w:t>
            </w:r>
          </w:p>
        </w:tc>
        <w:tc>
          <w:tcPr>
            <w:tcW w:w="848" w:type="dxa"/>
            <w:tcBorders>
              <w:top w:val="nil"/>
              <w:left w:val="nil"/>
              <w:bottom w:val="nil"/>
              <w:right w:val="nil"/>
            </w:tcBorders>
            <w:shd w:val="clear" w:color="auto" w:fill="auto"/>
            <w:noWrap/>
            <w:vAlign w:val="center"/>
            <w:hideMark/>
          </w:tcPr>
          <w:p w14:paraId="469D30E5" w14:textId="77777777" w:rsidR="00112EDC" w:rsidRPr="00E42A54" w:rsidRDefault="00112EDC" w:rsidP="00E42A54">
            <w:pPr>
              <w:pStyle w:val="NoSpacing"/>
              <w:rPr>
                <w:color w:val="000000"/>
                <w:szCs w:val="24"/>
              </w:rPr>
            </w:pPr>
            <w:r w:rsidRPr="00E42A54">
              <w:rPr>
                <w:color w:val="000000"/>
                <w:szCs w:val="24"/>
              </w:rPr>
              <w:t>0.03</w:t>
            </w:r>
          </w:p>
        </w:tc>
        <w:tc>
          <w:tcPr>
            <w:tcW w:w="960" w:type="dxa"/>
            <w:tcBorders>
              <w:top w:val="nil"/>
              <w:left w:val="nil"/>
              <w:bottom w:val="nil"/>
              <w:right w:val="nil"/>
            </w:tcBorders>
            <w:shd w:val="clear" w:color="auto" w:fill="auto"/>
            <w:noWrap/>
            <w:vAlign w:val="center"/>
            <w:hideMark/>
          </w:tcPr>
          <w:p w14:paraId="17698CDF" w14:textId="77777777" w:rsidR="00112EDC" w:rsidRPr="00E42A54" w:rsidRDefault="00112EDC" w:rsidP="00127F44">
            <w:pPr>
              <w:pStyle w:val="NoSpacing"/>
              <w:tabs>
                <w:tab w:val="decimal" w:pos="312"/>
              </w:tabs>
              <w:rPr>
                <w:color w:val="000000"/>
                <w:szCs w:val="24"/>
              </w:rPr>
            </w:pPr>
            <w:r w:rsidRPr="00E42A54">
              <w:rPr>
                <w:color w:val="000000"/>
                <w:szCs w:val="24"/>
              </w:rPr>
              <w:t>0.24</w:t>
            </w:r>
          </w:p>
        </w:tc>
        <w:tc>
          <w:tcPr>
            <w:tcW w:w="960" w:type="dxa"/>
            <w:tcBorders>
              <w:top w:val="nil"/>
              <w:left w:val="nil"/>
              <w:bottom w:val="nil"/>
              <w:right w:val="nil"/>
            </w:tcBorders>
            <w:shd w:val="clear" w:color="auto" w:fill="auto"/>
            <w:noWrap/>
            <w:vAlign w:val="center"/>
            <w:hideMark/>
          </w:tcPr>
          <w:p w14:paraId="474E0C05" w14:textId="77777777" w:rsidR="00112EDC" w:rsidRPr="00E42A54" w:rsidRDefault="00112EDC" w:rsidP="00E42A54">
            <w:pPr>
              <w:pStyle w:val="NoSpacing"/>
              <w:rPr>
                <w:color w:val="000000"/>
                <w:szCs w:val="24"/>
              </w:rPr>
            </w:pPr>
            <w:r w:rsidRPr="00E42A54">
              <w:rPr>
                <w:color w:val="000000"/>
                <w:szCs w:val="24"/>
              </w:rPr>
              <w:t>2.01</w:t>
            </w:r>
          </w:p>
        </w:tc>
      </w:tr>
      <w:tr w:rsidR="00112EDC" w:rsidRPr="00112EDC" w14:paraId="11BCC68F"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049C4C70" w14:textId="77777777" w:rsidR="00112EDC" w:rsidRPr="00E42A54" w:rsidRDefault="00112EDC" w:rsidP="00E42A54">
            <w:pPr>
              <w:pStyle w:val="NoSpacing"/>
              <w:rPr>
                <w:color w:val="000000"/>
                <w:szCs w:val="24"/>
              </w:rPr>
            </w:pPr>
            <w:r w:rsidRPr="00E42A54">
              <w:rPr>
                <w:color w:val="000000"/>
                <w:szCs w:val="24"/>
              </w:rPr>
              <w:t>2007</w:t>
            </w:r>
          </w:p>
        </w:tc>
        <w:tc>
          <w:tcPr>
            <w:tcW w:w="1072" w:type="dxa"/>
            <w:tcBorders>
              <w:top w:val="nil"/>
              <w:left w:val="nil"/>
              <w:bottom w:val="nil"/>
              <w:right w:val="nil"/>
            </w:tcBorders>
            <w:shd w:val="clear" w:color="auto" w:fill="auto"/>
            <w:noWrap/>
            <w:vAlign w:val="center"/>
            <w:hideMark/>
          </w:tcPr>
          <w:p w14:paraId="7B2D177C" w14:textId="77777777" w:rsidR="00112EDC" w:rsidRPr="00E42A54" w:rsidRDefault="00112EDC" w:rsidP="00127F44">
            <w:pPr>
              <w:pStyle w:val="NoSpacing"/>
              <w:tabs>
                <w:tab w:val="decimal" w:pos="342"/>
              </w:tabs>
              <w:rPr>
                <w:color w:val="000000"/>
                <w:szCs w:val="24"/>
              </w:rPr>
            </w:pPr>
            <w:r w:rsidRPr="00E42A54">
              <w:rPr>
                <w:color w:val="000000"/>
                <w:szCs w:val="24"/>
              </w:rPr>
              <w:t>10.38</w:t>
            </w:r>
          </w:p>
        </w:tc>
        <w:tc>
          <w:tcPr>
            <w:tcW w:w="848" w:type="dxa"/>
            <w:tcBorders>
              <w:top w:val="nil"/>
              <w:left w:val="nil"/>
              <w:bottom w:val="nil"/>
              <w:right w:val="nil"/>
            </w:tcBorders>
            <w:shd w:val="clear" w:color="auto" w:fill="auto"/>
            <w:noWrap/>
            <w:vAlign w:val="center"/>
            <w:hideMark/>
          </w:tcPr>
          <w:p w14:paraId="0BEAF619" w14:textId="77777777" w:rsidR="00112EDC" w:rsidRPr="00E42A54" w:rsidRDefault="00112EDC" w:rsidP="00E42A54">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4FEFCEE9" w14:textId="77777777" w:rsidR="00112EDC" w:rsidRPr="00E42A54" w:rsidRDefault="00112EDC" w:rsidP="00127F44">
            <w:pPr>
              <w:pStyle w:val="NoSpacing"/>
              <w:tabs>
                <w:tab w:val="decimal" w:pos="312"/>
              </w:tabs>
              <w:rPr>
                <w:color w:val="000000"/>
                <w:szCs w:val="24"/>
              </w:rPr>
            </w:pPr>
            <w:r w:rsidRPr="00E42A54">
              <w:rPr>
                <w:color w:val="000000"/>
                <w:szCs w:val="24"/>
              </w:rPr>
              <w:t>0.23</w:t>
            </w:r>
          </w:p>
        </w:tc>
        <w:tc>
          <w:tcPr>
            <w:tcW w:w="960" w:type="dxa"/>
            <w:tcBorders>
              <w:top w:val="nil"/>
              <w:left w:val="nil"/>
              <w:bottom w:val="nil"/>
              <w:right w:val="nil"/>
            </w:tcBorders>
            <w:shd w:val="clear" w:color="auto" w:fill="auto"/>
            <w:noWrap/>
            <w:vAlign w:val="center"/>
            <w:hideMark/>
          </w:tcPr>
          <w:p w14:paraId="3DE19277" w14:textId="77777777" w:rsidR="00112EDC" w:rsidRPr="00E42A54" w:rsidRDefault="00112EDC" w:rsidP="00E42A54">
            <w:pPr>
              <w:pStyle w:val="NoSpacing"/>
              <w:rPr>
                <w:color w:val="000000"/>
                <w:szCs w:val="24"/>
              </w:rPr>
            </w:pPr>
            <w:r w:rsidRPr="00E42A54">
              <w:rPr>
                <w:color w:val="000000"/>
                <w:szCs w:val="24"/>
              </w:rPr>
              <w:t>2.08</w:t>
            </w:r>
          </w:p>
        </w:tc>
      </w:tr>
      <w:tr w:rsidR="00112EDC" w:rsidRPr="00112EDC" w14:paraId="4690D6CE"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121A21EF" w14:textId="77777777" w:rsidR="00112EDC" w:rsidRPr="00E42A54" w:rsidRDefault="00112EDC" w:rsidP="00E42A54">
            <w:pPr>
              <w:pStyle w:val="NoSpacing"/>
              <w:rPr>
                <w:color w:val="000000"/>
                <w:szCs w:val="24"/>
              </w:rPr>
            </w:pPr>
            <w:r w:rsidRPr="00E42A54">
              <w:rPr>
                <w:color w:val="000000"/>
                <w:szCs w:val="24"/>
              </w:rPr>
              <w:t>2008</w:t>
            </w:r>
          </w:p>
        </w:tc>
        <w:tc>
          <w:tcPr>
            <w:tcW w:w="1072" w:type="dxa"/>
            <w:tcBorders>
              <w:top w:val="nil"/>
              <w:left w:val="nil"/>
              <w:bottom w:val="nil"/>
              <w:right w:val="nil"/>
            </w:tcBorders>
            <w:shd w:val="clear" w:color="auto" w:fill="auto"/>
            <w:noWrap/>
            <w:vAlign w:val="center"/>
            <w:hideMark/>
          </w:tcPr>
          <w:p w14:paraId="0F949A54" w14:textId="77777777" w:rsidR="00112EDC" w:rsidRPr="00E42A54" w:rsidRDefault="00112EDC" w:rsidP="00127F44">
            <w:pPr>
              <w:pStyle w:val="NoSpacing"/>
              <w:tabs>
                <w:tab w:val="decimal" w:pos="342"/>
              </w:tabs>
              <w:rPr>
                <w:color w:val="000000"/>
                <w:szCs w:val="24"/>
              </w:rPr>
            </w:pPr>
            <w:r w:rsidRPr="00E42A54">
              <w:rPr>
                <w:color w:val="000000"/>
                <w:szCs w:val="24"/>
              </w:rPr>
              <w:t>10.21</w:t>
            </w:r>
          </w:p>
        </w:tc>
        <w:tc>
          <w:tcPr>
            <w:tcW w:w="848" w:type="dxa"/>
            <w:tcBorders>
              <w:top w:val="nil"/>
              <w:left w:val="nil"/>
              <w:bottom w:val="nil"/>
              <w:right w:val="nil"/>
            </w:tcBorders>
            <w:shd w:val="clear" w:color="auto" w:fill="auto"/>
            <w:noWrap/>
            <w:vAlign w:val="center"/>
            <w:hideMark/>
          </w:tcPr>
          <w:p w14:paraId="52F14D73" w14:textId="77777777" w:rsidR="00112EDC" w:rsidRPr="00E42A54" w:rsidRDefault="00112EDC" w:rsidP="00E42A54">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0E3512D1" w14:textId="77777777" w:rsidR="00112EDC" w:rsidRPr="00E42A54" w:rsidRDefault="00112EDC" w:rsidP="00127F44">
            <w:pPr>
              <w:pStyle w:val="NoSpacing"/>
              <w:tabs>
                <w:tab w:val="decimal" w:pos="312"/>
              </w:tabs>
              <w:rPr>
                <w:color w:val="000000"/>
                <w:szCs w:val="24"/>
              </w:rPr>
            </w:pPr>
            <w:r w:rsidRPr="00E42A54">
              <w:rPr>
                <w:color w:val="000000"/>
                <w:szCs w:val="24"/>
              </w:rPr>
              <w:t>0.22</w:t>
            </w:r>
          </w:p>
        </w:tc>
        <w:tc>
          <w:tcPr>
            <w:tcW w:w="960" w:type="dxa"/>
            <w:tcBorders>
              <w:top w:val="nil"/>
              <w:left w:val="nil"/>
              <w:bottom w:val="nil"/>
              <w:right w:val="nil"/>
            </w:tcBorders>
            <w:shd w:val="clear" w:color="auto" w:fill="auto"/>
            <w:noWrap/>
            <w:vAlign w:val="center"/>
            <w:hideMark/>
          </w:tcPr>
          <w:p w14:paraId="251F8DD4" w14:textId="77777777" w:rsidR="00112EDC" w:rsidRPr="00E42A54" w:rsidRDefault="00112EDC" w:rsidP="00E42A54">
            <w:pPr>
              <w:pStyle w:val="NoSpacing"/>
              <w:rPr>
                <w:color w:val="000000"/>
                <w:szCs w:val="24"/>
              </w:rPr>
            </w:pPr>
            <w:r w:rsidRPr="00E42A54">
              <w:rPr>
                <w:color w:val="000000"/>
                <w:szCs w:val="24"/>
              </w:rPr>
              <w:t>2.11</w:t>
            </w:r>
          </w:p>
        </w:tc>
      </w:tr>
      <w:tr w:rsidR="00112EDC" w:rsidRPr="00112EDC" w14:paraId="098B5E41"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3D8D800B" w14:textId="77777777" w:rsidR="00112EDC" w:rsidRPr="00E42A54" w:rsidRDefault="00112EDC" w:rsidP="00E42A54">
            <w:pPr>
              <w:pStyle w:val="NoSpacing"/>
              <w:rPr>
                <w:color w:val="000000"/>
                <w:szCs w:val="24"/>
              </w:rPr>
            </w:pPr>
            <w:r w:rsidRPr="00E42A54">
              <w:rPr>
                <w:color w:val="000000"/>
                <w:szCs w:val="24"/>
              </w:rPr>
              <w:t>2009</w:t>
            </w:r>
          </w:p>
        </w:tc>
        <w:tc>
          <w:tcPr>
            <w:tcW w:w="1072" w:type="dxa"/>
            <w:tcBorders>
              <w:top w:val="nil"/>
              <w:left w:val="nil"/>
              <w:bottom w:val="nil"/>
              <w:right w:val="nil"/>
            </w:tcBorders>
            <w:shd w:val="clear" w:color="auto" w:fill="auto"/>
            <w:noWrap/>
            <w:vAlign w:val="center"/>
            <w:hideMark/>
          </w:tcPr>
          <w:p w14:paraId="7875EC5A" w14:textId="77777777" w:rsidR="00112EDC" w:rsidRPr="00E42A54" w:rsidRDefault="00112EDC" w:rsidP="00127F44">
            <w:pPr>
              <w:pStyle w:val="NoSpacing"/>
              <w:tabs>
                <w:tab w:val="decimal" w:pos="342"/>
              </w:tabs>
              <w:rPr>
                <w:color w:val="000000"/>
                <w:szCs w:val="24"/>
              </w:rPr>
            </w:pPr>
            <w:r w:rsidRPr="00E42A54">
              <w:rPr>
                <w:color w:val="000000"/>
                <w:szCs w:val="24"/>
              </w:rPr>
              <w:t>8.37</w:t>
            </w:r>
          </w:p>
        </w:tc>
        <w:tc>
          <w:tcPr>
            <w:tcW w:w="848" w:type="dxa"/>
            <w:tcBorders>
              <w:top w:val="nil"/>
              <w:left w:val="nil"/>
              <w:bottom w:val="nil"/>
              <w:right w:val="nil"/>
            </w:tcBorders>
            <w:shd w:val="clear" w:color="auto" w:fill="auto"/>
            <w:noWrap/>
            <w:vAlign w:val="center"/>
            <w:hideMark/>
          </w:tcPr>
          <w:p w14:paraId="5EF9280A" w14:textId="77777777" w:rsidR="00112EDC" w:rsidRPr="00E42A54" w:rsidRDefault="00112EDC" w:rsidP="00E42A54">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1781DE7A" w14:textId="77777777" w:rsidR="00112EDC" w:rsidRPr="00E42A54" w:rsidRDefault="00112EDC" w:rsidP="00127F44">
            <w:pPr>
              <w:pStyle w:val="NoSpacing"/>
              <w:tabs>
                <w:tab w:val="decimal" w:pos="312"/>
              </w:tabs>
              <w:rPr>
                <w:color w:val="000000"/>
                <w:szCs w:val="24"/>
              </w:rPr>
            </w:pPr>
            <w:r w:rsidRPr="00E42A54">
              <w:rPr>
                <w:color w:val="000000"/>
                <w:szCs w:val="24"/>
              </w:rPr>
              <w:t>0.23</w:t>
            </w:r>
          </w:p>
        </w:tc>
        <w:tc>
          <w:tcPr>
            <w:tcW w:w="960" w:type="dxa"/>
            <w:tcBorders>
              <w:top w:val="nil"/>
              <w:left w:val="nil"/>
              <w:bottom w:val="nil"/>
              <w:right w:val="nil"/>
            </w:tcBorders>
            <w:shd w:val="clear" w:color="auto" w:fill="auto"/>
            <w:noWrap/>
            <w:vAlign w:val="center"/>
            <w:hideMark/>
          </w:tcPr>
          <w:p w14:paraId="6C40B5CD" w14:textId="77777777" w:rsidR="00112EDC" w:rsidRPr="00E42A54" w:rsidRDefault="00112EDC" w:rsidP="00E42A54">
            <w:pPr>
              <w:pStyle w:val="NoSpacing"/>
              <w:rPr>
                <w:color w:val="000000"/>
                <w:szCs w:val="24"/>
              </w:rPr>
            </w:pPr>
            <w:r w:rsidRPr="00E42A54">
              <w:rPr>
                <w:color w:val="000000"/>
                <w:szCs w:val="24"/>
              </w:rPr>
              <w:t>2.08</w:t>
            </w:r>
          </w:p>
        </w:tc>
      </w:tr>
      <w:tr w:rsidR="00112EDC" w:rsidRPr="00112EDC" w14:paraId="50EB0484"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42ABA2EE" w14:textId="77777777" w:rsidR="00112EDC" w:rsidRPr="00E42A54" w:rsidRDefault="00112EDC" w:rsidP="00E42A54">
            <w:pPr>
              <w:pStyle w:val="NoSpacing"/>
              <w:rPr>
                <w:color w:val="000000"/>
                <w:szCs w:val="24"/>
              </w:rPr>
            </w:pPr>
            <w:r w:rsidRPr="00E42A54">
              <w:rPr>
                <w:color w:val="000000"/>
                <w:szCs w:val="24"/>
              </w:rPr>
              <w:t>2010</w:t>
            </w:r>
          </w:p>
        </w:tc>
        <w:tc>
          <w:tcPr>
            <w:tcW w:w="1072" w:type="dxa"/>
            <w:tcBorders>
              <w:top w:val="nil"/>
              <w:left w:val="nil"/>
              <w:bottom w:val="nil"/>
              <w:right w:val="nil"/>
            </w:tcBorders>
            <w:shd w:val="clear" w:color="auto" w:fill="auto"/>
            <w:noWrap/>
            <w:vAlign w:val="center"/>
            <w:hideMark/>
          </w:tcPr>
          <w:p w14:paraId="4D964A98" w14:textId="77777777" w:rsidR="00112EDC" w:rsidRPr="00E42A54" w:rsidRDefault="00112EDC" w:rsidP="00127F44">
            <w:pPr>
              <w:pStyle w:val="NoSpacing"/>
              <w:tabs>
                <w:tab w:val="decimal" w:pos="342"/>
              </w:tabs>
              <w:rPr>
                <w:color w:val="000000"/>
                <w:szCs w:val="24"/>
              </w:rPr>
            </w:pPr>
            <w:r w:rsidRPr="00E42A54">
              <w:rPr>
                <w:color w:val="000000"/>
                <w:szCs w:val="24"/>
              </w:rPr>
              <w:t>7.34</w:t>
            </w:r>
          </w:p>
        </w:tc>
        <w:tc>
          <w:tcPr>
            <w:tcW w:w="848" w:type="dxa"/>
            <w:tcBorders>
              <w:top w:val="nil"/>
              <w:left w:val="nil"/>
              <w:bottom w:val="nil"/>
              <w:right w:val="nil"/>
            </w:tcBorders>
            <w:shd w:val="clear" w:color="auto" w:fill="auto"/>
            <w:noWrap/>
            <w:vAlign w:val="center"/>
            <w:hideMark/>
          </w:tcPr>
          <w:p w14:paraId="19B883A9" w14:textId="77777777" w:rsidR="00112EDC" w:rsidRPr="00E42A54" w:rsidRDefault="00112EDC" w:rsidP="00E42A54">
            <w:pPr>
              <w:pStyle w:val="NoSpacing"/>
              <w:rPr>
                <w:color w:val="000000"/>
                <w:szCs w:val="24"/>
              </w:rPr>
            </w:pPr>
            <w:r w:rsidRPr="00E42A54">
              <w:rPr>
                <w:color w:val="000000"/>
                <w:szCs w:val="24"/>
              </w:rPr>
              <w:t>0.05</w:t>
            </w:r>
          </w:p>
        </w:tc>
        <w:tc>
          <w:tcPr>
            <w:tcW w:w="960" w:type="dxa"/>
            <w:tcBorders>
              <w:top w:val="nil"/>
              <w:left w:val="nil"/>
              <w:bottom w:val="nil"/>
              <w:right w:val="nil"/>
            </w:tcBorders>
            <w:shd w:val="clear" w:color="auto" w:fill="auto"/>
            <w:noWrap/>
            <w:vAlign w:val="center"/>
            <w:hideMark/>
          </w:tcPr>
          <w:p w14:paraId="569FA716" w14:textId="77777777" w:rsidR="00112EDC" w:rsidRPr="00E42A54" w:rsidRDefault="00112EDC" w:rsidP="00127F44">
            <w:pPr>
              <w:pStyle w:val="NoSpacing"/>
              <w:tabs>
                <w:tab w:val="decimal" w:pos="312"/>
              </w:tabs>
              <w:rPr>
                <w:color w:val="000000"/>
                <w:szCs w:val="24"/>
              </w:rPr>
            </w:pPr>
            <w:r w:rsidRPr="00E42A54">
              <w:rPr>
                <w:color w:val="000000"/>
                <w:szCs w:val="24"/>
              </w:rPr>
              <w:t>0.22</w:t>
            </w:r>
          </w:p>
        </w:tc>
        <w:tc>
          <w:tcPr>
            <w:tcW w:w="960" w:type="dxa"/>
            <w:tcBorders>
              <w:top w:val="nil"/>
              <w:left w:val="nil"/>
              <w:bottom w:val="nil"/>
              <w:right w:val="nil"/>
            </w:tcBorders>
            <w:shd w:val="clear" w:color="auto" w:fill="auto"/>
            <w:noWrap/>
            <w:vAlign w:val="center"/>
            <w:hideMark/>
          </w:tcPr>
          <w:p w14:paraId="45D9D5C7" w14:textId="77777777" w:rsidR="00112EDC" w:rsidRPr="00E42A54" w:rsidRDefault="00112EDC" w:rsidP="00E42A54">
            <w:pPr>
              <w:pStyle w:val="NoSpacing"/>
              <w:rPr>
                <w:color w:val="000000"/>
                <w:szCs w:val="24"/>
              </w:rPr>
            </w:pPr>
            <w:r w:rsidRPr="00E42A54">
              <w:rPr>
                <w:color w:val="000000"/>
                <w:szCs w:val="24"/>
              </w:rPr>
              <w:t>2.13</w:t>
            </w:r>
          </w:p>
        </w:tc>
      </w:tr>
      <w:tr w:rsidR="00112EDC" w:rsidRPr="00112EDC" w14:paraId="2DCA9ECE"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631911E5" w14:textId="77777777" w:rsidR="00112EDC" w:rsidRPr="00E42A54" w:rsidRDefault="00112EDC" w:rsidP="00E42A54">
            <w:pPr>
              <w:pStyle w:val="NoSpacing"/>
              <w:rPr>
                <w:color w:val="000000"/>
                <w:szCs w:val="24"/>
              </w:rPr>
            </w:pPr>
            <w:r w:rsidRPr="00E42A54">
              <w:rPr>
                <w:color w:val="000000"/>
                <w:szCs w:val="24"/>
              </w:rPr>
              <w:t>2011</w:t>
            </w:r>
          </w:p>
        </w:tc>
        <w:tc>
          <w:tcPr>
            <w:tcW w:w="1072" w:type="dxa"/>
            <w:tcBorders>
              <w:top w:val="nil"/>
              <w:left w:val="nil"/>
              <w:bottom w:val="nil"/>
              <w:right w:val="nil"/>
            </w:tcBorders>
            <w:shd w:val="clear" w:color="auto" w:fill="auto"/>
            <w:noWrap/>
            <w:vAlign w:val="center"/>
            <w:hideMark/>
          </w:tcPr>
          <w:p w14:paraId="53D06524" w14:textId="77777777" w:rsidR="00112EDC" w:rsidRPr="00E42A54" w:rsidRDefault="00112EDC" w:rsidP="00127F44">
            <w:pPr>
              <w:pStyle w:val="NoSpacing"/>
              <w:tabs>
                <w:tab w:val="decimal" w:pos="342"/>
              </w:tabs>
              <w:rPr>
                <w:color w:val="000000"/>
                <w:szCs w:val="24"/>
              </w:rPr>
            </w:pPr>
            <w:r w:rsidRPr="00E42A54">
              <w:rPr>
                <w:color w:val="000000"/>
                <w:szCs w:val="24"/>
              </w:rPr>
              <w:t>8.61</w:t>
            </w:r>
          </w:p>
        </w:tc>
        <w:tc>
          <w:tcPr>
            <w:tcW w:w="848" w:type="dxa"/>
            <w:tcBorders>
              <w:top w:val="nil"/>
              <w:left w:val="nil"/>
              <w:bottom w:val="nil"/>
              <w:right w:val="nil"/>
            </w:tcBorders>
            <w:shd w:val="clear" w:color="auto" w:fill="auto"/>
            <w:noWrap/>
            <w:vAlign w:val="center"/>
            <w:hideMark/>
          </w:tcPr>
          <w:p w14:paraId="7CC505F1" w14:textId="77777777" w:rsidR="00112EDC" w:rsidRPr="00E42A54" w:rsidRDefault="00112EDC" w:rsidP="00E42A54">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2D81F606" w14:textId="77777777" w:rsidR="00112EDC" w:rsidRPr="00E42A54" w:rsidRDefault="00112EDC" w:rsidP="00127F44">
            <w:pPr>
              <w:pStyle w:val="NoSpacing"/>
              <w:tabs>
                <w:tab w:val="decimal" w:pos="312"/>
              </w:tabs>
              <w:rPr>
                <w:color w:val="000000"/>
                <w:szCs w:val="24"/>
              </w:rPr>
            </w:pPr>
            <w:r w:rsidRPr="00E42A54">
              <w:rPr>
                <w:color w:val="000000"/>
                <w:szCs w:val="24"/>
              </w:rPr>
              <w:t>0.19</w:t>
            </w:r>
          </w:p>
        </w:tc>
        <w:tc>
          <w:tcPr>
            <w:tcW w:w="960" w:type="dxa"/>
            <w:tcBorders>
              <w:top w:val="nil"/>
              <w:left w:val="nil"/>
              <w:bottom w:val="nil"/>
              <w:right w:val="nil"/>
            </w:tcBorders>
            <w:shd w:val="clear" w:color="auto" w:fill="auto"/>
            <w:noWrap/>
            <w:vAlign w:val="center"/>
            <w:hideMark/>
          </w:tcPr>
          <w:p w14:paraId="6DC8073D" w14:textId="77777777" w:rsidR="00112EDC" w:rsidRPr="00E42A54" w:rsidRDefault="00112EDC" w:rsidP="00E42A54">
            <w:pPr>
              <w:pStyle w:val="NoSpacing"/>
              <w:rPr>
                <w:color w:val="000000"/>
                <w:szCs w:val="24"/>
              </w:rPr>
            </w:pPr>
            <w:r w:rsidRPr="00E42A54">
              <w:rPr>
                <w:color w:val="000000"/>
                <w:szCs w:val="24"/>
              </w:rPr>
              <w:t>2.35</w:t>
            </w:r>
          </w:p>
        </w:tc>
      </w:tr>
      <w:tr w:rsidR="00112EDC" w:rsidRPr="00112EDC" w14:paraId="5A4D5C01"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513B1130" w14:textId="77777777" w:rsidR="00112EDC" w:rsidRPr="00E42A54" w:rsidRDefault="00112EDC" w:rsidP="00E42A54">
            <w:pPr>
              <w:pStyle w:val="NoSpacing"/>
              <w:rPr>
                <w:color w:val="000000"/>
                <w:szCs w:val="24"/>
              </w:rPr>
            </w:pPr>
            <w:r w:rsidRPr="00E42A54">
              <w:rPr>
                <w:color w:val="000000"/>
                <w:szCs w:val="24"/>
              </w:rPr>
              <w:t>2012</w:t>
            </w:r>
          </w:p>
        </w:tc>
        <w:tc>
          <w:tcPr>
            <w:tcW w:w="1072" w:type="dxa"/>
            <w:tcBorders>
              <w:top w:val="nil"/>
              <w:left w:val="nil"/>
              <w:bottom w:val="nil"/>
              <w:right w:val="nil"/>
            </w:tcBorders>
            <w:shd w:val="clear" w:color="auto" w:fill="auto"/>
            <w:noWrap/>
            <w:vAlign w:val="center"/>
            <w:hideMark/>
          </w:tcPr>
          <w:p w14:paraId="620F3BCC" w14:textId="77777777" w:rsidR="00112EDC" w:rsidRPr="00E42A54" w:rsidRDefault="00112EDC" w:rsidP="00127F44">
            <w:pPr>
              <w:pStyle w:val="NoSpacing"/>
              <w:tabs>
                <w:tab w:val="decimal" w:pos="342"/>
              </w:tabs>
              <w:rPr>
                <w:color w:val="000000"/>
                <w:szCs w:val="24"/>
              </w:rPr>
            </w:pPr>
            <w:r w:rsidRPr="00E42A54">
              <w:rPr>
                <w:color w:val="000000"/>
                <w:szCs w:val="24"/>
              </w:rPr>
              <w:t>8.41</w:t>
            </w:r>
          </w:p>
        </w:tc>
        <w:tc>
          <w:tcPr>
            <w:tcW w:w="848" w:type="dxa"/>
            <w:tcBorders>
              <w:top w:val="nil"/>
              <w:left w:val="nil"/>
              <w:bottom w:val="nil"/>
              <w:right w:val="nil"/>
            </w:tcBorders>
            <w:shd w:val="clear" w:color="auto" w:fill="auto"/>
            <w:noWrap/>
            <w:vAlign w:val="center"/>
            <w:hideMark/>
          </w:tcPr>
          <w:p w14:paraId="7D75E762" w14:textId="77777777" w:rsidR="00112EDC" w:rsidRPr="00E42A54" w:rsidRDefault="00112EDC" w:rsidP="00E42A54">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2F3A987C" w14:textId="77777777" w:rsidR="00112EDC" w:rsidRPr="00E42A54" w:rsidRDefault="00112EDC" w:rsidP="00127F44">
            <w:pPr>
              <w:pStyle w:val="NoSpacing"/>
              <w:tabs>
                <w:tab w:val="decimal" w:pos="312"/>
              </w:tabs>
              <w:rPr>
                <w:color w:val="000000"/>
                <w:szCs w:val="24"/>
              </w:rPr>
            </w:pPr>
            <w:r w:rsidRPr="00E42A54">
              <w:rPr>
                <w:color w:val="000000"/>
                <w:szCs w:val="24"/>
              </w:rPr>
              <w:t>0.22</w:t>
            </w:r>
          </w:p>
        </w:tc>
        <w:tc>
          <w:tcPr>
            <w:tcW w:w="960" w:type="dxa"/>
            <w:tcBorders>
              <w:top w:val="nil"/>
              <w:left w:val="nil"/>
              <w:bottom w:val="nil"/>
              <w:right w:val="nil"/>
            </w:tcBorders>
            <w:shd w:val="clear" w:color="auto" w:fill="auto"/>
            <w:noWrap/>
            <w:vAlign w:val="center"/>
            <w:hideMark/>
          </w:tcPr>
          <w:p w14:paraId="75F88684" w14:textId="77777777" w:rsidR="00112EDC" w:rsidRPr="00E42A54" w:rsidRDefault="00112EDC" w:rsidP="00E42A54">
            <w:pPr>
              <w:pStyle w:val="NoSpacing"/>
              <w:rPr>
                <w:color w:val="000000"/>
                <w:szCs w:val="24"/>
              </w:rPr>
            </w:pPr>
            <w:r w:rsidRPr="00E42A54">
              <w:rPr>
                <w:color w:val="000000"/>
                <w:szCs w:val="24"/>
              </w:rPr>
              <w:t>2.10</w:t>
            </w:r>
          </w:p>
        </w:tc>
      </w:tr>
      <w:tr w:rsidR="00112EDC" w:rsidRPr="00112EDC" w14:paraId="75AEA20E"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64CF7B7C" w14:textId="77777777" w:rsidR="00112EDC" w:rsidRPr="00E42A54" w:rsidRDefault="00112EDC" w:rsidP="00E42A54">
            <w:pPr>
              <w:pStyle w:val="NoSpacing"/>
              <w:rPr>
                <w:color w:val="000000"/>
                <w:szCs w:val="24"/>
              </w:rPr>
            </w:pPr>
            <w:r w:rsidRPr="00E42A54">
              <w:rPr>
                <w:color w:val="000000"/>
                <w:szCs w:val="24"/>
              </w:rPr>
              <w:t>2013</w:t>
            </w:r>
          </w:p>
        </w:tc>
        <w:tc>
          <w:tcPr>
            <w:tcW w:w="1072" w:type="dxa"/>
            <w:tcBorders>
              <w:top w:val="nil"/>
              <w:left w:val="nil"/>
              <w:bottom w:val="nil"/>
              <w:right w:val="nil"/>
            </w:tcBorders>
            <w:shd w:val="clear" w:color="auto" w:fill="auto"/>
            <w:noWrap/>
            <w:vAlign w:val="center"/>
            <w:hideMark/>
          </w:tcPr>
          <w:p w14:paraId="06C13E2F" w14:textId="77777777" w:rsidR="00112EDC" w:rsidRPr="00E42A54" w:rsidRDefault="00112EDC" w:rsidP="00127F44">
            <w:pPr>
              <w:pStyle w:val="NoSpacing"/>
              <w:tabs>
                <w:tab w:val="decimal" w:pos="342"/>
              </w:tabs>
              <w:rPr>
                <w:color w:val="000000"/>
                <w:szCs w:val="24"/>
              </w:rPr>
            </w:pPr>
            <w:r w:rsidRPr="00E42A54">
              <w:rPr>
                <w:color w:val="000000"/>
                <w:szCs w:val="24"/>
              </w:rPr>
              <w:t>7.81</w:t>
            </w:r>
          </w:p>
        </w:tc>
        <w:tc>
          <w:tcPr>
            <w:tcW w:w="848" w:type="dxa"/>
            <w:tcBorders>
              <w:top w:val="nil"/>
              <w:left w:val="nil"/>
              <w:bottom w:val="nil"/>
              <w:right w:val="nil"/>
            </w:tcBorders>
            <w:shd w:val="clear" w:color="auto" w:fill="auto"/>
            <w:noWrap/>
            <w:vAlign w:val="center"/>
            <w:hideMark/>
          </w:tcPr>
          <w:p w14:paraId="3E7B4766" w14:textId="77777777" w:rsidR="00112EDC" w:rsidRPr="00E42A54" w:rsidRDefault="00112EDC" w:rsidP="00E42A54">
            <w:pPr>
              <w:pStyle w:val="NoSpacing"/>
              <w:rPr>
                <w:color w:val="000000"/>
                <w:szCs w:val="24"/>
              </w:rPr>
            </w:pPr>
            <w:r w:rsidRPr="00E42A54">
              <w:rPr>
                <w:color w:val="000000"/>
                <w:szCs w:val="24"/>
              </w:rPr>
              <w:t>0.05</w:t>
            </w:r>
          </w:p>
        </w:tc>
        <w:tc>
          <w:tcPr>
            <w:tcW w:w="960" w:type="dxa"/>
            <w:tcBorders>
              <w:top w:val="nil"/>
              <w:left w:val="nil"/>
              <w:bottom w:val="nil"/>
              <w:right w:val="nil"/>
            </w:tcBorders>
            <w:shd w:val="clear" w:color="auto" w:fill="auto"/>
            <w:noWrap/>
            <w:vAlign w:val="center"/>
            <w:hideMark/>
          </w:tcPr>
          <w:p w14:paraId="1A6EE1FC" w14:textId="77777777" w:rsidR="00112EDC" w:rsidRPr="00E42A54" w:rsidRDefault="00112EDC" w:rsidP="00127F44">
            <w:pPr>
              <w:pStyle w:val="NoSpacing"/>
              <w:tabs>
                <w:tab w:val="decimal" w:pos="312"/>
              </w:tabs>
              <w:rPr>
                <w:color w:val="000000"/>
                <w:szCs w:val="24"/>
              </w:rPr>
            </w:pPr>
            <w:r w:rsidRPr="00E42A54">
              <w:rPr>
                <w:color w:val="000000"/>
                <w:szCs w:val="24"/>
              </w:rPr>
              <w:t>0.22</w:t>
            </w:r>
          </w:p>
        </w:tc>
        <w:tc>
          <w:tcPr>
            <w:tcW w:w="960" w:type="dxa"/>
            <w:tcBorders>
              <w:top w:val="nil"/>
              <w:left w:val="nil"/>
              <w:bottom w:val="nil"/>
              <w:right w:val="nil"/>
            </w:tcBorders>
            <w:shd w:val="clear" w:color="auto" w:fill="auto"/>
            <w:noWrap/>
            <w:vAlign w:val="center"/>
            <w:hideMark/>
          </w:tcPr>
          <w:p w14:paraId="2AE0306D" w14:textId="77777777" w:rsidR="00112EDC" w:rsidRPr="00E42A54" w:rsidRDefault="00112EDC" w:rsidP="00E42A54">
            <w:pPr>
              <w:pStyle w:val="NoSpacing"/>
              <w:rPr>
                <w:color w:val="000000"/>
                <w:szCs w:val="24"/>
              </w:rPr>
            </w:pPr>
            <w:r w:rsidRPr="00E42A54">
              <w:rPr>
                <w:color w:val="000000"/>
                <w:szCs w:val="24"/>
              </w:rPr>
              <w:t>2.13</w:t>
            </w:r>
          </w:p>
        </w:tc>
      </w:tr>
      <w:tr w:rsidR="00112EDC" w:rsidRPr="00112EDC" w14:paraId="7B12B71B"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478BF8D5" w14:textId="77777777" w:rsidR="00112EDC" w:rsidRPr="00E42A54" w:rsidRDefault="00112EDC" w:rsidP="00E42A54">
            <w:pPr>
              <w:pStyle w:val="NoSpacing"/>
              <w:rPr>
                <w:color w:val="000000"/>
                <w:szCs w:val="24"/>
              </w:rPr>
            </w:pPr>
            <w:r w:rsidRPr="00E42A54">
              <w:rPr>
                <w:color w:val="000000"/>
                <w:szCs w:val="24"/>
              </w:rPr>
              <w:t>2014</w:t>
            </w:r>
          </w:p>
        </w:tc>
        <w:tc>
          <w:tcPr>
            <w:tcW w:w="1072" w:type="dxa"/>
            <w:tcBorders>
              <w:top w:val="nil"/>
              <w:left w:val="nil"/>
              <w:bottom w:val="nil"/>
              <w:right w:val="nil"/>
            </w:tcBorders>
            <w:shd w:val="clear" w:color="auto" w:fill="auto"/>
            <w:noWrap/>
            <w:vAlign w:val="center"/>
            <w:hideMark/>
          </w:tcPr>
          <w:p w14:paraId="5FD5E60F" w14:textId="77777777" w:rsidR="00112EDC" w:rsidRPr="00E42A54" w:rsidRDefault="00112EDC" w:rsidP="00127F44">
            <w:pPr>
              <w:pStyle w:val="NoSpacing"/>
              <w:tabs>
                <w:tab w:val="decimal" w:pos="342"/>
              </w:tabs>
              <w:rPr>
                <w:color w:val="000000"/>
                <w:szCs w:val="24"/>
              </w:rPr>
            </w:pPr>
            <w:r w:rsidRPr="00E42A54">
              <w:rPr>
                <w:color w:val="000000"/>
                <w:szCs w:val="24"/>
              </w:rPr>
              <w:t>9.08</w:t>
            </w:r>
          </w:p>
        </w:tc>
        <w:tc>
          <w:tcPr>
            <w:tcW w:w="848" w:type="dxa"/>
            <w:tcBorders>
              <w:top w:val="nil"/>
              <w:left w:val="nil"/>
              <w:bottom w:val="nil"/>
              <w:right w:val="nil"/>
            </w:tcBorders>
            <w:shd w:val="clear" w:color="auto" w:fill="auto"/>
            <w:noWrap/>
            <w:vAlign w:val="center"/>
            <w:hideMark/>
          </w:tcPr>
          <w:p w14:paraId="2BE7AFC2" w14:textId="77777777" w:rsidR="00112EDC" w:rsidRPr="00E42A54" w:rsidRDefault="00112EDC" w:rsidP="00E42A54">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724E64F0" w14:textId="77777777" w:rsidR="00112EDC" w:rsidRPr="00E42A54" w:rsidRDefault="00112EDC" w:rsidP="00127F44">
            <w:pPr>
              <w:pStyle w:val="NoSpacing"/>
              <w:tabs>
                <w:tab w:val="decimal" w:pos="312"/>
              </w:tabs>
              <w:rPr>
                <w:color w:val="000000"/>
                <w:szCs w:val="24"/>
              </w:rPr>
            </w:pPr>
            <w:r w:rsidRPr="00E42A54">
              <w:rPr>
                <w:color w:val="000000"/>
                <w:szCs w:val="24"/>
              </w:rPr>
              <w:t>0.25</w:t>
            </w:r>
          </w:p>
        </w:tc>
        <w:tc>
          <w:tcPr>
            <w:tcW w:w="960" w:type="dxa"/>
            <w:tcBorders>
              <w:top w:val="nil"/>
              <w:left w:val="nil"/>
              <w:bottom w:val="nil"/>
              <w:right w:val="nil"/>
            </w:tcBorders>
            <w:shd w:val="clear" w:color="auto" w:fill="auto"/>
            <w:noWrap/>
            <w:vAlign w:val="center"/>
            <w:hideMark/>
          </w:tcPr>
          <w:p w14:paraId="4483459F" w14:textId="77777777" w:rsidR="00112EDC" w:rsidRPr="00E42A54" w:rsidRDefault="00112EDC" w:rsidP="00E42A54">
            <w:pPr>
              <w:pStyle w:val="NoSpacing"/>
              <w:rPr>
                <w:color w:val="000000"/>
                <w:szCs w:val="24"/>
              </w:rPr>
            </w:pPr>
            <w:r w:rsidRPr="00E42A54">
              <w:rPr>
                <w:color w:val="000000"/>
                <w:szCs w:val="24"/>
              </w:rPr>
              <w:t>1.97</w:t>
            </w:r>
          </w:p>
        </w:tc>
      </w:tr>
      <w:tr w:rsidR="00112EDC" w:rsidRPr="00112EDC" w14:paraId="7F3A3881"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1807788D" w14:textId="77777777" w:rsidR="00112EDC" w:rsidRPr="00E42A54" w:rsidRDefault="00112EDC" w:rsidP="00E42A54">
            <w:pPr>
              <w:pStyle w:val="NoSpacing"/>
              <w:rPr>
                <w:color w:val="000000"/>
                <w:szCs w:val="24"/>
              </w:rPr>
            </w:pPr>
            <w:r w:rsidRPr="00E42A54">
              <w:rPr>
                <w:color w:val="000000"/>
                <w:szCs w:val="24"/>
              </w:rPr>
              <w:t>2015</w:t>
            </w:r>
          </w:p>
        </w:tc>
        <w:tc>
          <w:tcPr>
            <w:tcW w:w="1072" w:type="dxa"/>
            <w:tcBorders>
              <w:top w:val="nil"/>
              <w:left w:val="nil"/>
              <w:bottom w:val="nil"/>
              <w:right w:val="nil"/>
            </w:tcBorders>
            <w:shd w:val="clear" w:color="auto" w:fill="auto"/>
            <w:noWrap/>
            <w:vAlign w:val="center"/>
            <w:hideMark/>
          </w:tcPr>
          <w:p w14:paraId="71A888DE" w14:textId="77777777" w:rsidR="00112EDC" w:rsidRPr="00E42A54" w:rsidRDefault="00112EDC" w:rsidP="00127F44">
            <w:pPr>
              <w:pStyle w:val="NoSpacing"/>
              <w:tabs>
                <w:tab w:val="decimal" w:pos="342"/>
              </w:tabs>
              <w:rPr>
                <w:color w:val="000000"/>
                <w:szCs w:val="24"/>
              </w:rPr>
            </w:pPr>
            <w:r w:rsidRPr="00E42A54">
              <w:rPr>
                <w:color w:val="000000"/>
                <w:szCs w:val="24"/>
              </w:rPr>
              <w:t>9.25</w:t>
            </w:r>
          </w:p>
        </w:tc>
        <w:tc>
          <w:tcPr>
            <w:tcW w:w="848" w:type="dxa"/>
            <w:tcBorders>
              <w:top w:val="nil"/>
              <w:left w:val="nil"/>
              <w:bottom w:val="nil"/>
              <w:right w:val="nil"/>
            </w:tcBorders>
            <w:shd w:val="clear" w:color="auto" w:fill="auto"/>
            <w:noWrap/>
            <w:vAlign w:val="center"/>
            <w:hideMark/>
          </w:tcPr>
          <w:p w14:paraId="6997B012" w14:textId="77777777" w:rsidR="00112EDC" w:rsidRPr="00E42A54" w:rsidRDefault="00112EDC" w:rsidP="00E42A54">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7B4A9374" w14:textId="77777777" w:rsidR="00112EDC" w:rsidRPr="00E42A54" w:rsidRDefault="00112EDC" w:rsidP="00127F44">
            <w:pPr>
              <w:pStyle w:val="NoSpacing"/>
              <w:tabs>
                <w:tab w:val="decimal" w:pos="312"/>
              </w:tabs>
              <w:rPr>
                <w:color w:val="000000"/>
                <w:szCs w:val="24"/>
              </w:rPr>
            </w:pPr>
            <w:r w:rsidRPr="00E42A54">
              <w:rPr>
                <w:color w:val="000000"/>
                <w:szCs w:val="24"/>
              </w:rPr>
              <w:t>0.27</w:t>
            </w:r>
          </w:p>
        </w:tc>
        <w:tc>
          <w:tcPr>
            <w:tcW w:w="960" w:type="dxa"/>
            <w:tcBorders>
              <w:top w:val="nil"/>
              <w:left w:val="nil"/>
              <w:bottom w:val="nil"/>
              <w:right w:val="nil"/>
            </w:tcBorders>
            <w:shd w:val="clear" w:color="auto" w:fill="auto"/>
            <w:noWrap/>
            <w:vAlign w:val="center"/>
            <w:hideMark/>
          </w:tcPr>
          <w:p w14:paraId="7707BF13" w14:textId="77777777" w:rsidR="00112EDC" w:rsidRPr="00E42A54" w:rsidRDefault="00112EDC" w:rsidP="00E42A54">
            <w:pPr>
              <w:pStyle w:val="NoSpacing"/>
              <w:rPr>
                <w:color w:val="000000"/>
                <w:szCs w:val="24"/>
              </w:rPr>
            </w:pPr>
            <w:r w:rsidRPr="00E42A54">
              <w:rPr>
                <w:color w:val="000000"/>
                <w:szCs w:val="24"/>
              </w:rPr>
              <w:t>1.88</w:t>
            </w:r>
          </w:p>
        </w:tc>
      </w:tr>
      <w:tr w:rsidR="00112EDC" w:rsidRPr="00112EDC" w14:paraId="541883B5"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7796AFC3" w14:textId="77777777" w:rsidR="00112EDC" w:rsidRPr="00E42A54" w:rsidRDefault="00112EDC" w:rsidP="00E42A54">
            <w:pPr>
              <w:pStyle w:val="NoSpacing"/>
              <w:rPr>
                <w:color w:val="000000"/>
                <w:szCs w:val="24"/>
              </w:rPr>
            </w:pPr>
            <w:r w:rsidRPr="00E42A54">
              <w:rPr>
                <w:color w:val="000000"/>
                <w:szCs w:val="24"/>
              </w:rPr>
              <w:t>2016</w:t>
            </w:r>
          </w:p>
        </w:tc>
        <w:tc>
          <w:tcPr>
            <w:tcW w:w="1072" w:type="dxa"/>
            <w:tcBorders>
              <w:top w:val="nil"/>
              <w:left w:val="nil"/>
              <w:bottom w:val="nil"/>
              <w:right w:val="nil"/>
            </w:tcBorders>
            <w:shd w:val="clear" w:color="auto" w:fill="auto"/>
            <w:noWrap/>
            <w:vAlign w:val="center"/>
            <w:hideMark/>
          </w:tcPr>
          <w:p w14:paraId="6AE1B244" w14:textId="77777777" w:rsidR="00112EDC" w:rsidRPr="00E42A54" w:rsidRDefault="00112EDC" w:rsidP="00127F44">
            <w:pPr>
              <w:pStyle w:val="NoSpacing"/>
              <w:tabs>
                <w:tab w:val="decimal" w:pos="342"/>
              </w:tabs>
              <w:rPr>
                <w:color w:val="000000"/>
                <w:szCs w:val="24"/>
              </w:rPr>
            </w:pPr>
            <w:r w:rsidRPr="00E42A54">
              <w:rPr>
                <w:color w:val="000000"/>
                <w:szCs w:val="24"/>
              </w:rPr>
              <w:t>10.65</w:t>
            </w:r>
          </w:p>
        </w:tc>
        <w:tc>
          <w:tcPr>
            <w:tcW w:w="848" w:type="dxa"/>
            <w:tcBorders>
              <w:top w:val="nil"/>
              <w:left w:val="nil"/>
              <w:bottom w:val="nil"/>
              <w:right w:val="nil"/>
            </w:tcBorders>
            <w:shd w:val="clear" w:color="auto" w:fill="auto"/>
            <w:noWrap/>
            <w:vAlign w:val="center"/>
            <w:hideMark/>
          </w:tcPr>
          <w:p w14:paraId="6F80C03A" w14:textId="77777777" w:rsidR="00112EDC" w:rsidRPr="00E42A54" w:rsidRDefault="00112EDC" w:rsidP="00E42A54">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395B7612" w14:textId="77777777" w:rsidR="00112EDC" w:rsidRPr="00E42A54" w:rsidRDefault="00112EDC" w:rsidP="00127F44">
            <w:pPr>
              <w:pStyle w:val="NoSpacing"/>
              <w:tabs>
                <w:tab w:val="decimal" w:pos="312"/>
              </w:tabs>
              <w:rPr>
                <w:color w:val="000000"/>
                <w:szCs w:val="24"/>
              </w:rPr>
            </w:pPr>
            <w:r w:rsidRPr="00E42A54">
              <w:rPr>
                <w:color w:val="000000"/>
                <w:szCs w:val="24"/>
              </w:rPr>
              <w:t>0.25</w:t>
            </w:r>
          </w:p>
        </w:tc>
        <w:tc>
          <w:tcPr>
            <w:tcW w:w="960" w:type="dxa"/>
            <w:tcBorders>
              <w:top w:val="nil"/>
              <w:left w:val="nil"/>
              <w:bottom w:val="nil"/>
              <w:right w:val="nil"/>
            </w:tcBorders>
            <w:shd w:val="clear" w:color="auto" w:fill="auto"/>
            <w:noWrap/>
            <w:vAlign w:val="center"/>
            <w:hideMark/>
          </w:tcPr>
          <w:p w14:paraId="04CD53E7" w14:textId="77777777" w:rsidR="00112EDC" w:rsidRPr="00E42A54" w:rsidRDefault="00112EDC" w:rsidP="00E42A54">
            <w:pPr>
              <w:pStyle w:val="NoSpacing"/>
              <w:rPr>
                <w:color w:val="000000"/>
                <w:szCs w:val="24"/>
              </w:rPr>
            </w:pPr>
            <w:r w:rsidRPr="00E42A54">
              <w:rPr>
                <w:color w:val="000000"/>
                <w:szCs w:val="24"/>
              </w:rPr>
              <w:t>1.97</w:t>
            </w:r>
          </w:p>
        </w:tc>
      </w:tr>
    </w:tbl>
    <w:p w14:paraId="4B8198D6" w14:textId="77777777" w:rsidR="0012349B" w:rsidRDefault="0012349B" w:rsidP="0012349B">
      <w:pPr>
        <w:rPr>
          <w:rFonts w:ascii="Arial" w:hAnsi="Arial"/>
          <w:sz w:val="22"/>
          <w:szCs w:val="18"/>
        </w:rPr>
      </w:pPr>
      <w:r>
        <w:br w:type="page"/>
      </w:r>
    </w:p>
    <w:p w14:paraId="45D11AAA" w14:textId="2F3E4557" w:rsidR="0012349B" w:rsidRDefault="0012349B">
      <w:pPr>
        <w:pStyle w:val="Caption"/>
      </w:pPr>
      <w:bookmarkStart w:id="6" w:name="_Ref500490066"/>
      <w:r>
        <w:lastRenderedPageBreak/>
        <w:t xml:space="preserve">Table </w:t>
      </w:r>
      <w:r w:rsidR="00A92D0A">
        <w:fldChar w:fldCharType="begin"/>
      </w:r>
      <w:r w:rsidR="00A92D0A">
        <w:instrText xml:space="preserve"> SEQ Table \* ARABIC </w:instrText>
      </w:r>
      <w:r w:rsidR="00A92D0A">
        <w:fldChar w:fldCharType="separate"/>
      </w:r>
      <w:r w:rsidR="00E33BD3">
        <w:rPr>
          <w:noProof/>
        </w:rPr>
        <w:t>5</w:t>
      </w:r>
      <w:r w:rsidR="00A92D0A">
        <w:rPr>
          <w:noProof/>
        </w:rPr>
        <w:fldChar w:fldCharType="end"/>
      </w:r>
      <w:bookmarkEnd w:id="6"/>
      <w:r>
        <w:t xml:space="preserve">. Quarterly </w:t>
      </w:r>
      <w:r w:rsidRPr="00DD124F">
        <w:t xml:space="preserve">standardized </w:t>
      </w:r>
      <w:r w:rsidR="00B94F1C">
        <w:t xml:space="preserve">swordfish </w:t>
      </w:r>
      <w:r w:rsidRPr="00DD124F">
        <w:t xml:space="preserve">CPUE </w:t>
      </w:r>
      <w:r w:rsidR="00B94F1C">
        <w:t xml:space="preserve">(# swordfish/1000 hooks) </w:t>
      </w:r>
      <w:r w:rsidRPr="00DD124F">
        <w:t>a</w:t>
      </w:r>
      <w:r w:rsidR="008D619A">
        <w:t xml:space="preserve">nd CVs for the </w:t>
      </w:r>
      <w:r w:rsidR="000D0A0F">
        <w:t>shallow-set</w:t>
      </w:r>
      <w:r w:rsidR="008D619A">
        <w:t xml:space="preserve"> and </w:t>
      </w:r>
      <w:r w:rsidR="00F764D8">
        <w:t>deep-set</w:t>
      </w:r>
      <w:r w:rsidRPr="00DD124F">
        <w:t xml:space="preserve"> Hawaii-based longline fishery from the Pacific Islands Regional Observer Program </w:t>
      </w:r>
      <w:r w:rsidR="00345600">
        <w:t>data set</w:t>
      </w:r>
      <w:r w:rsidRPr="00DD124F">
        <w:t>.</w:t>
      </w:r>
    </w:p>
    <w:tbl>
      <w:tblPr>
        <w:tblW w:w="5760" w:type="dxa"/>
        <w:jc w:val="center"/>
        <w:tblLook w:val="04A0" w:firstRow="1" w:lastRow="0" w:firstColumn="1" w:lastColumn="0" w:noHBand="0" w:noVBand="1"/>
        <w:tblDescription w:val="Quarterly standardized swordfish CPUE (# swordfish/1000 hooks) and CVs for the shallow-set and deep-set Hawaii-based longline fishery from the Pacific Islands Regional Observer Program data set."/>
      </w:tblPr>
      <w:tblGrid>
        <w:gridCol w:w="960"/>
        <w:gridCol w:w="1056"/>
        <w:gridCol w:w="1072"/>
        <w:gridCol w:w="848"/>
        <w:gridCol w:w="960"/>
        <w:gridCol w:w="960"/>
      </w:tblGrid>
      <w:tr w:rsidR="00112EDC" w:rsidRPr="00112EDC" w14:paraId="764AB060" w14:textId="77777777" w:rsidTr="00127F44">
        <w:trPr>
          <w:trHeight w:val="300"/>
          <w:tblHeader/>
          <w:jc w:val="center"/>
        </w:trPr>
        <w:tc>
          <w:tcPr>
            <w:tcW w:w="960" w:type="dxa"/>
            <w:tcBorders>
              <w:top w:val="nil"/>
              <w:left w:val="nil"/>
              <w:bottom w:val="nil"/>
              <w:right w:val="nil"/>
            </w:tcBorders>
            <w:shd w:val="clear" w:color="auto" w:fill="auto"/>
            <w:noWrap/>
            <w:vAlign w:val="bottom"/>
            <w:hideMark/>
          </w:tcPr>
          <w:p w14:paraId="01F8CC32" w14:textId="77777777" w:rsidR="00112EDC" w:rsidRPr="00127F44" w:rsidRDefault="00112EDC" w:rsidP="008679FF">
            <w:pPr>
              <w:pStyle w:val="NoSpacing"/>
              <w:rPr>
                <w:b/>
                <w:szCs w:val="24"/>
              </w:rPr>
            </w:pPr>
          </w:p>
        </w:tc>
        <w:tc>
          <w:tcPr>
            <w:tcW w:w="960" w:type="dxa"/>
            <w:tcBorders>
              <w:top w:val="nil"/>
              <w:left w:val="nil"/>
              <w:bottom w:val="nil"/>
              <w:right w:val="nil"/>
            </w:tcBorders>
            <w:shd w:val="clear" w:color="auto" w:fill="auto"/>
            <w:noWrap/>
            <w:vAlign w:val="bottom"/>
            <w:hideMark/>
          </w:tcPr>
          <w:p w14:paraId="40BE44E0" w14:textId="77777777" w:rsidR="00112EDC" w:rsidRPr="00127F44" w:rsidRDefault="00112EDC" w:rsidP="008679FF">
            <w:pPr>
              <w:pStyle w:val="NoSpacing"/>
              <w:rPr>
                <w:b/>
                <w:szCs w:val="24"/>
              </w:rPr>
            </w:pPr>
          </w:p>
        </w:tc>
        <w:tc>
          <w:tcPr>
            <w:tcW w:w="1920" w:type="dxa"/>
            <w:gridSpan w:val="2"/>
            <w:tcBorders>
              <w:top w:val="nil"/>
              <w:left w:val="nil"/>
              <w:bottom w:val="nil"/>
              <w:right w:val="nil"/>
            </w:tcBorders>
            <w:shd w:val="clear" w:color="auto" w:fill="auto"/>
            <w:noWrap/>
            <w:vAlign w:val="center"/>
            <w:hideMark/>
          </w:tcPr>
          <w:p w14:paraId="5E650D62" w14:textId="77777777" w:rsidR="00112EDC" w:rsidRPr="00127F44" w:rsidRDefault="00112EDC" w:rsidP="008679FF">
            <w:pPr>
              <w:pStyle w:val="NoSpacing"/>
              <w:rPr>
                <w:b/>
                <w:color w:val="000000"/>
                <w:szCs w:val="24"/>
              </w:rPr>
            </w:pPr>
            <w:r w:rsidRPr="00127F44">
              <w:rPr>
                <w:b/>
                <w:color w:val="000000"/>
                <w:szCs w:val="24"/>
              </w:rPr>
              <w:t>Shallow Set</w:t>
            </w:r>
          </w:p>
        </w:tc>
        <w:tc>
          <w:tcPr>
            <w:tcW w:w="1920" w:type="dxa"/>
            <w:gridSpan w:val="2"/>
            <w:tcBorders>
              <w:top w:val="nil"/>
              <w:left w:val="nil"/>
              <w:bottom w:val="nil"/>
              <w:right w:val="nil"/>
            </w:tcBorders>
            <w:shd w:val="clear" w:color="auto" w:fill="auto"/>
            <w:noWrap/>
            <w:vAlign w:val="center"/>
            <w:hideMark/>
          </w:tcPr>
          <w:p w14:paraId="65BF486F" w14:textId="77777777" w:rsidR="00112EDC" w:rsidRPr="00127F44" w:rsidRDefault="00112EDC" w:rsidP="008679FF">
            <w:pPr>
              <w:pStyle w:val="NoSpacing"/>
              <w:rPr>
                <w:b/>
                <w:color w:val="000000"/>
                <w:szCs w:val="24"/>
              </w:rPr>
            </w:pPr>
            <w:r w:rsidRPr="00127F44">
              <w:rPr>
                <w:b/>
                <w:color w:val="000000"/>
                <w:szCs w:val="24"/>
              </w:rPr>
              <w:t>Deep Set</w:t>
            </w:r>
          </w:p>
        </w:tc>
      </w:tr>
      <w:tr w:rsidR="00112EDC" w:rsidRPr="00112EDC" w14:paraId="791FB7F6" w14:textId="77777777" w:rsidTr="00127F44">
        <w:trPr>
          <w:trHeight w:val="300"/>
          <w:tblHeader/>
          <w:jc w:val="center"/>
        </w:trPr>
        <w:tc>
          <w:tcPr>
            <w:tcW w:w="960" w:type="dxa"/>
            <w:tcBorders>
              <w:top w:val="nil"/>
              <w:left w:val="nil"/>
              <w:bottom w:val="single" w:sz="4" w:space="0" w:color="auto"/>
              <w:right w:val="nil"/>
            </w:tcBorders>
            <w:shd w:val="clear" w:color="auto" w:fill="auto"/>
            <w:noWrap/>
            <w:vAlign w:val="center"/>
            <w:hideMark/>
          </w:tcPr>
          <w:p w14:paraId="2A5D3BDA" w14:textId="77777777" w:rsidR="00112EDC" w:rsidRPr="00127F44" w:rsidRDefault="00112EDC" w:rsidP="008679FF">
            <w:pPr>
              <w:pStyle w:val="NoSpacing"/>
              <w:rPr>
                <w:b/>
                <w:color w:val="000000"/>
                <w:szCs w:val="24"/>
              </w:rPr>
            </w:pPr>
            <w:r w:rsidRPr="00127F44">
              <w:rPr>
                <w:b/>
                <w:color w:val="000000"/>
                <w:szCs w:val="24"/>
              </w:rPr>
              <w:t>Year</w:t>
            </w:r>
          </w:p>
        </w:tc>
        <w:tc>
          <w:tcPr>
            <w:tcW w:w="960" w:type="dxa"/>
            <w:tcBorders>
              <w:top w:val="nil"/>
              <w:left w:val="nil"/>
              <w:bottom w:val="single" w:sz="4" w:space="0" w:color="auto"/>
              <w:right w:val="nil"/>
            </w:tcBorders>
            <w:shd w:val="clear" w:color="auto" w:fill="auto"/>
            <w:noWrap/>
            <w:vAlign w:val="center"/>
            <w:hideMark/>
          </w:tcPr>
          <w:p w14:paraId="55CDE01A" w14:textId="77777777" w:rsidR="00112EDC" w:rsidRPr="00127F44" w:rsidRDefault="00112EDC" w:rsidP="008679FF">
            <w:pPr>
              <w:pStyle w:val="NoSpacing"/>
              <w:rPr>
                <w:b/>
                <w:color w:val="000000"/>
                <w:szCs w:val="24"/>
              </w:rPr>
            </w:pPr>
            <w:r w:rsidRPr="00127F44">
              <w:rPr>
                <w:b/>
                <w:color w:val="000000"/>
                <w:szCs w:val="24"/>
              </w:rPr>
              <w:t>Quarter</w:t>
            </w:r>
          </w:p>
        </w:tc>
        <w:tc>
          <w:tcPr>
            <w:tcW w:w="1072" w:type="dxa"/>
            <w:tcBorders>
              <w:top w:val="nil"/>
              <w:left w:val="nil"/>
              <w:bottom w:val="single" w:sz="4" w:space="0" w:color="auto"/>
              <w:right w:val="nil"/>
            </w:tcBorders>
            <w:shd w:val="clear" w:color="auto" w:fill="auto"/>
            <w:noWrap/>
            <w:vAlign w:val="center"/>
            <w:hideMark/>
          </w:tcPr>
          <w:p w14:paraId="561B3157" w14:textId="77777777" w:rsidR="00112EDC" w:rsidRPr="00127F44" w:rsidRDefault="00112EDC" w:rsidP="008679FF">
            <w:pPr>
              <w:pStyle w:val="NoSpacing"/>
              <w:rPr>
                <w:b/>
                <w:color w:val="000000"/>
                <w:szCs w:val="24"/>
              </w:rPr>
            </w:pPr>
            <w:r w:rsidRPr="00127F44">
              <w:rPr>
                <w:b/>
                <w:color w:val="000000"/>
                <w:szCs w:val="24"/>
              </w:rPr>
              <w:t>CPUE</w:t>
            </w:r>
          </w:p>
        </w:tc>
        <w:tc>
          <w:tcPr>
            <w:tcW w:w="848" w:type="dxa"/>
            <w:tcBorders>
              <w:top w:val="nil"/>
              <w:left w:val="nil"/>
              <w:bottom w:val="single" w:sz="4" w:space="0" w:color="auto"/>
              <w:right w:val="nil"/>
            </w:tcBorders>
            <w:shd w:val="clear" w:color="auto" w:fill="auto"/>
            <w:noWrap/>
            <w:vAlign w:val="center"/>
            <w:hideMark/>
          </w:tcPr>
          <w:p w14:paraId="6C40C605" w14:textId="77777777" w:rsidR="00112EDC" w:rsidRPr="00127F44" w:rsidRDefault="00112EDC" w:rsidP="008679FF">
            <w:pPr>
              <w:pStyle w:val="NoSpacing"/>
              <w:rPr>
                <w:b/>
                <w:color w:val="000000"/>
                <w:szCs w:val="24"/>
              </w:rPr>
            </w:pPr>
            <w:r w:rsidRPr="00127F44">
              <w:rPr>
                <w:b/>
                <w:color w:val="000000"/>
                <w:szCs w:val="24"/>
              </w:rPr>
              <w:t>CV</w:t>
            </w:r>
          </w:p>
        </w:tc>
        <w:tc>
          <w:tcPr>
            <w:tcW w:w="960" w:type="dxa"/>
            <w:tcBorders>
              <w:top w:val="nil"/>
              <w:left w:val="nil"/>
              <w:bottom w:val="single" w:sz="4" w:space="0" w:color="auto"/>
              <w:right w:val="nil"/>
            </w:tcBorders>
            <w:shd w:val="clear" w:color="auto" w:fill="auto"/>
            <w:noWrap/>
            <w:vAlign w:val="center"/>
            <w:hideMark/>
          </w:tcPr>
          <w:p w14:paraId="0BF9B1D8" w14:textId="77777777" w:rsidR="00112EDC" w:rsidRPr="00127F44" w:rsidRDefault="00112EDC" w:rsidP="008679FF">
            <w:pPr>
              <w:pStyle w:val="NoSpacing"/>
              <w:rPr>
                <w:b/>
                <w:color w:val="000000"/>
                <w:szCs w:val="24"/>
              </w:rPr>
            </w:pPr>
            <w:r w:rsidRPr="00127F44">
              <w:rPr>
                <w:b/>
                <w:color w:val="000000"/>
                <w:szCs w:val="24"/>
              </w:rPr>
              <w:t>CPUE</w:t>
            </w:r>
          </w:p>
        </w:tc>
        <w:tc>
          <w:tcPr>
            <w:tcW w:w="960" w:type="dxa"/>
            <w:tcBorders>
              <w:top w:val="nil"/>
              <w:left w:val="nil"/>
              <w:bottom w:val="single" w:sz="4" w:space="0" w:color="auto"/>
              <w:right w:val="nil"/>
            </w:tcBorders>
            <w:shd w:val="clear" w:color="auto" w:fill="auto"/>
            <w:noWrap/>
            <w:vAlign w:val="center"/>
            <w:hideMark/>
          </w:tcPr>
          <w:p w14:paraId="0528610C" w14:textId="77777777" w:rsidR="00112EDC" w:rsidRPr="00127F44" w:rsidRDefault="00112EDC" w:rsidP="008679FF">
            <w:pPr>
              <w:pStyle w:val="NoSpacing"/>
              <w:rPr>
                <w:b/>
                <w:color w:val="000000"/>
                <w:szCs w:val="24"/>
              </w:rPr>
            </w:pPr>
            <w:r w:rsidRPr="00127F44">
              <w:rPr>
                <w:b/>
                <w:color w:val="000000"/>
                <w:szCs w:val="24"/>
              </w:rPr>
              <w:t>CV</w:t>
            </w:r>
          </w:p>
        </w:tc>
      </w:tr>
      <w:tr w:rsidR="00112EDC" w:rsidRPr="00112EDC" w14:paraId="7F3C0FDD" w14:textId="77777777" w:rsidTr="00DA1AB7">
        <w:trPr>
          <w:trHeight w:val="300"/>
          <w:jc w:val="center"/>
        </w:trPr>
        <w:tc>
          <w:tcPr>
            <w:tcW w:w="960" w:type="dxa"/>
            <w:tcBorders>
              <w:top w:val="single" w:sz="4" w:space="0" w:color="auto"/>
              <w:left w:val="nil"/>
              <w:bottom w:val="nil"/>
              <w:right w:val="nil"/>
            </w:tcBorders>
            <w:shd w:val="clear" w:color="auto" w:fill="auto"/>
            <w:noWrap/>
            <w:vAlign w:val="center"/>
            <w:hideMark/>
          </w:tcPr>
          <w:p w14:paraId="50E157D2" w14:textId="77777777" w:rsidR="00112EDC" w:rsidRPr="00E42A54" w:rsidRDefault="00112EDC" w:rsidP="008679FF">
            <w:pPr>
              <w:pStyle w:val="NoSpacing"/>
              <w:rPr>
                <w:color w:val="000000"/>
                <w:szCs w:val="24"/>
              </w:rPr>
            </w:pPr>
            <w:r w:rsidRPr="00E42A54">
              <w:rPr>
                <w:color w:val="000000"/>
                <w:szCs w:val="24"/>
              </w:rPr>
              <w:t>1995</w:t>
            </w:r>
          </w:p>
        </w:tc>
        <w:tc>
          <w:tcPr>
            <w:tcW w:w="960" w:type="dxa"/>
            <w:tcBorders>
              <w:top w:val="single" w:sz="4" w:space="0" w:color="auto"/>
              <w:left w:val="nil"/>
              <w:bottom w:val="nil"/>
              <w:right w:val="nil"/>
            </w:tcBorders>
            <w:shd w:val="clear" w:color="auto" w:fill="auto"/>
            <w:noWrap/>
            <w:vAlign w:val="center"/>
            <w:hideMark/>
          </w:tcPr>
          <w:p w14:paraId="6FF2EC14"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single" w:sz="4" w:space="0" w:color="auto"/>
              <w:left w:val="nil"/>
              <w:bottom w:val="nil"/>
              <w:right w:val="nil"/>
            </w:tcBorders>
            <w:shd w:val="clear" w:color="auto" w:fill="auto"/>
            <w:noWrap/>
            <w:vAlign w:val="center"/>
            <w:hideMark/>
          </w:tcPr>
          <w:p w14:paraId="55579E78" w14:textId="77777777" w:rsidR="00112EDC" w:rsidRPr="00E42A54" w:rsidRDefault="00112EDC" w:rsidP="00127F44">
            <w:pPr>
              <w:pStyle w:val="NoSpacing"/>
              <w:tabs>
                <w:tab w:val="decimal" w:pos="354"/>
              </w:tabs>
              <w:rPr>
                <w:color w:val="000000"/>
                <w:szCs w:val="24"/>
              </w:rPr>
            </w:pPr>
            <w:r w:rsidRPr="00E42A54">
              <w:rPr>
                <w:color w:val="000000"/>
                <w:szCs w:val="24"/>
              </w:rPr>
              <w:t>3.70</w:t>
            </w:r>
          </w:p>
        </w:tc>
        <w:tc>
          <w:tcPr>
            <w:tcW w:w="848" w:type="dxa"/>
            <w:tcBorders>
              <w:top w:val="single" w:sz="4" w:space="0" w:color="auto"/>
              <w:left w:val="nil"/>
              <w:bottom w:val="nil"/>
              <w:right w:val="nil"/>
            </w:tcBorders>
            <w:shd w:val="clear" w:color="auto" w:fill="auto"/>
            <w:noWrap/>
            <w:vAlign w:val="center"/>
            <w:hideMark/>
          </w:tcPr>
          <w:p w14:paraId="1D674E51" w14:textId="77777777" w:rsidR="00112EDC" w:rsidRPr="00E42A54" w:rsidRDefault="00112EDC" w:rsidP="008679FF">
            <w:pPr>
              <w:pStyle w:val="NoSpacing"/>
              <w:rPr>
                <w:color w:val="000000"/>
                <w:szCs w:val="24"/>
              </w:rPr>
            </w:pPr>
            <w:r w:rsidRPr="00E42A54">
              <w:rPr>
                <w:color w:val="000000"/>
                <w:szCs w:val="24"/>
              </w:rPr>
              <w:t>0.45</w:t>
            </w:r>
          </w:p>
        </w:tc>
        <w:tc>
          <w:tcPr>
            <w:tcW w:w="960" w:type="dxa"/>
            <w:tcBorders>
              <w:top w:val="single" w:sz="4" w:space="0" w:color="auto"/>
              <w:left w:val="nil"/>
              <w:bottom w:val="nil"/>
              <w:right w:val="nil"/>
            </w:tcBorders>
            <w:shd w:val="clear" w:color="auto" w:fill="auto"/>
            <w:noWrap/>
            <w:vAlign w:val="center"/>
            <w:hideMark/>
          </w:tcPr>
          <w:p w14:paraId="1F344269" w14:textId="77777777" w:rsidR="00112EDC" w:rsidRPr="00E42A54" w:rsidRDefault="00112EDC" w:rsidP="008679FF">
            <w:pPr>
              <w:pStyle w:val="NoSpacing"/>
              <w:rPr>
                <w:color w:val="000000"/>
                <w:szCs w:val="24"/>
              </w:rPr>
            </w:pPr>
            <w:r w:rsidRPr="00E42A54">
              <w:rPr>
                <w:color w:val="000000"/>
                <w:szCs w:val="24"/>
              </w:rPr>
              <w:t>0.29</w:t>
            </w:r>
          </w:p>
        </w:tc>
        <w:tc>
          <w:tcPr>
            <w:tcW w:w="960" w:type="dxa"/>
            <w:tcBorders>
              <w:top w:val="single" w:sz="4" w:space="0" w:color="auto"/>
              <w:left w:val="nil"/>
              <w:bottom w:val="nil"/>
              <w:right w:val="nil"/>
            </w:tcBorders>
            <w:shd w:val="clear" w:color="auto" w:fill="auto"/>
            <w:noWrap/>
            <w:vAlign w:val="center"/>
            <w:hideMark/>
          </w:tcPr>
          <w:p w14:paraId="32E46679" w14:textId="77777777" w:rsidR="00112EDC" w:rsidRPr="00E42A54" w:rsidRDefault="00112EDC" w:rsidP="008679FF">
            <w:pPr>
              <w:pStyle w:val="NoSpacing"/>
              <w:rPr>
                <w:color w:val="000000"/>
                <w:szCs w:val="24"/>
              </w:rPr>
            </w:pPr>
            <w:r w:rsidRPr="00E42A54">
              <w:rPr>
                <w:color w:val="000000"/>
                <w:szCs w:val="24"/>
              </w:rPr>
              <w:t>1.77</w:t>
            </w:r>
          </w:p>
        </w:tc>
      </w:tr>
      <w:tr w:rsidR="00112EDC" w:rsidRPr="00112EDC" w14:paraId="6B3EE8D1"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3E397E4E" w14:textId="77777777" w:rsidR="00112EDC" w:rsidRPr="00E42A54" w:rsidRDefault="00112EDC" w:rsidP="008679FF">
            <w:pPr>
              <w:pStyle w:val="NoSpacing"/>
              <w:rPr>
                <w:color w:val="000000"/>
                <w:szCs w:val="24"/>
              </w:rPr>
            </w:pPr>
            <w:r w:rsidRPr="00E42A54">
              <w:rPr>
                <w:color w:val="000000"/>
                <w:szCs w:val="24"/>
              </w:rPr>
              <w:t>1995</w:t>
            </w:r>
          </w:p>
        </w:tc>
        <w:tc>
          <w:tcPr>
            <w:tcW w:w="960" w:type="dxa"/>
            <w:tcBorders>
              <w:top w:val="nil"/>
              <w:left w:val="nil"/>
              <w:bottom w:val="nil"/>
              <w:right w:val="nil"/>
            </w:tcBorders>
            <w:shd w:val="clear" w:color="auto" w:fill="auto"/>
            <w:noWrap/>
            <w:vAlign w:val="center"/>
            <w:hideMark/>
          </w:tcPr>
          <w:p w14:paraId="3EAF5B44"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684D0CE1" w14:textId="77777777" w:rsidR="00112EDC" w:rsidRPr="00E42A54" w:rsidRDefault="00112EDC" w:rsidP="00127F44">
            <w:pPr>
              <w:pStyle w:val="NoSpacing"/>
              <w:tabs>
                <w:tab w:val="decimal" w:pos="354"/>
              </w:tabs>
              <w:rPr>
                <w:color w:val="000000"/>
                <w:szCs w:val="24"/>
              </w:rPr>
            </w:pPr>
            <w:r w:rsidRPr="00E42A54">
              <w:rPr>
                <w:color w:val="000000"/>
                <w:szCs w:val="24"/>
              </w:rPr>
              <w:t>4.65</w:t>
            </w:r>
          </w:p>
        </w:tc>
        <w:tc>
          <w:tcPr>
            <w:tcW w:w="848" w:type="dxa"/>
            <w:tcBorders>
              <w:top w:val="nil"/>
              <w:left w:val="nil"/>
              <w:bottom w:val="nil"/>
              <w:right w:val="nil"/>
            </w:tcBorders>
            <w:shd w:val="clear" w:color="auto" w:fill="auto"/>
            <w:noWrap/>
            <w:vAlign w:val="center"/>
            <w:hideMark/>
          </w:tcPr>
          <w:p w14:paraId="6EF3F105" w14:textId="77777777" w:rsidR="00112EDC" w:rsidRPr="00E42A54" w:rsidRDefault="00112EDC" w:rsidP="008679FF">
            <w:pPr>
              <w:pStyle w:val="NoSpacing"/>
              <w:rPr>
                <w:color w:val="000000"/>
                <w:szCs w:val="24"/>
              </w:rPr>
            </w:pPr>
            <w:r w:rsidRPr="00E42A54">
              <w:rPr>
                <w:color w:val="000000"/>
                <w:szCs w:val="24"/>
              </w:rPr>
              <w:t>0.37</w:t>
            </w:r>
          </w:p>
        </w:tc>
        <w:tc>
          <w:tcPr>
            <w:tcW w:w="960" w:type="dxa"/>
            <w:tcBorders>
              <w:top w:val="nil"/>
              <w:left w:val="nil"/>
              <w:bottom w:val="nil"/>
              <w:right w:val="nil"/>
            </w:tcBorders>
            <w:shd w:val="clear" w:color="auto" w:fill="auto"/>
            <w:noWrap/>
            <w:vAlign w:val="center"/>
            <w:hideMark/>
          </w:tcPr>
          <w:p w14:paraId="1F72527E" w14:textId="77777777" w:rsidR="00112EDC" w:rsidRPr="00E42A54" w:rsidRDefault="00112EDC" w:rsidP="008679FF">
            <w:pPr>
              <w:pStyle w:val="NoSpacing"/>
              <w:rPr>
                <w:color w:val="000000"/>
                <w:szCs w:val="24"/>
              </w:rPr>
            </w:pPr>
            <w:r w:rsidRPr="00E42A54">
              <w:rPr>
                <w:color w:val="000000"/>
                <w:szCs w:val="24"/>
              </w:rPr>
              <w:t>0.51</w:t>
            </w:r>
          </w:p>
        </w:tc>
        <w:tc>
          <w:tcPr>
            <w:tcW w:w="960" w:type="dxa"/>
            <w:tcBorders>
              <w:top w:val="nil"/>
              <w:left w:val="nil"/>
              <w:bottom w:val="nil"/>
              <w:right w:val="nil"/>
            </w:tcBorders>
            <w:shd w:val="clear" w:color="auto" w:fill="auto"/>
            <w:noWrap/>
            <w:vAlign w:val="center"/>
            <w:hideMark/>
          </w:tcPr>
          <w:p w14:paraId="7FD3610B" w14:textId="77777777" w:rsidR="00112EDC" w:rsidRPr="00E42A54" w:rsidRDefault="00112EDC" w:rsidP="008679FF">
            <w:pPr>
              <w:pStyle w:val="NoSpacing"/>
              <w:rPr>
                <w:color w:val="000000"/>
                <w:szCs w:val="24"/>
              </w:rPr>
            </w:pPr>
            <w:r w:rsidRPr="00E42A54">
              <w:rPr>
                <w:color w:val="000000"/>
                <w:szCs w:val="24"/>
              </w:rPr>
              <w:t>1.20</w:t>
            </w:r>
          </w:p>
        </w:tc>
      </w:tr>
      <w:tr w:rsidR="00112EDC" w:rsidRPr="00112EDC" w14:paraId="0EDCFA1E"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677683A6" w14:textId="77777777" w:rsidR="00112EDC" w:rsidRPr="00E42A54" w:rsidRDefault="00112EDC" w:rsidP="008679FF">
            <w:pPr>
              <w:pStyle w:val="NoSpacing"/>
              <w:rPr>
                <w:color w:val="000000"/>
                <w:szCs w:val="24"/>
              </w:rPr>
            </w:pPr>
            <w:r w:rsidRPr="00E42A54">
              <w:rPr>
                <w:color w:val="000000"/>
                <w:szCs w:val="24"/>
              </w:rPr>
              <w:t>1995</w:t>
            </w:r>
          </w:p>
        </w:tc>
        <w:tc>
          <w:tcPr>
            <w:tcW w:w="960" w:type="dxa"/>
            <w:tcBorders>
              <w:top w:val="nil"/>
              <w:left w:val="nil"/>
              <w:bottom w:val="nil"/>
              <w:right w:val="nil"/>
            </w:tcBorders>
            <w:shd w:val="clear" w:color="auto" w:fill="auto"/>
            <w:noWrap/>
            <w:vAlign w:val="center"/>
            <w:hideMark/>
          </w:tcPr>
          <w:p w14:paraId="48A55C88"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0ADBB676" w14:textId="77777777" w:rsidR="00112EDC" w:rsidRPr="00E42A54" w:rsidRDefault="00112EDC" w:rsidP="00127F44">
            <w:pPr>
              <w:pStyle w:val="NoSpacing"/>
              <w:tabs>
                <w:tab w:val="decimal" w:pos="354"/>
              </w:tabs>
              <w:rPr>
                <w:color w:val="000000"/>
                <w:szCs w:val="24"/>
              </w:rPr>
            </w:pPr>
            <w:r w:rsidRPr="00E42A54">
              <w:rPr>
                <w:color w:val="000000"/>
                <w:szCs w:val="24"/>
              </w:rPr>
              <w:t>2.39</w:t>
            </w:r>
          </w:p>
        </w:tc>
        <w:tc>
          <w:tcPr>
            <w:tcW w:w="848" w:type="dxa"/>
            <w:tcBorders>
              <w:top w:val="nil"/>
              <w:left w:val="nil"/>
              <w:bottom w:val="nil"/>
              <w:right w:val="nil"/>
            </w:tcBorders>
            <w:shd w:val="clear" w:color="auto" w:fill="auto"/>
            <w:noWrap/>
            <w:vAlign w:val="center"/>
            <w:hideMark/>
          </w:tcPr>
          <w:p w14:paraId="29F3734F" w14:textId="77777777" w:rsidR="00112EDC" w:rsidRPr="00E42A54" w:rsidRDefault="00112EDC" w:rsidP="008679FF">
            <w:pPr>
              <w:pStyle w:val="NoSpacing"/>
              <w:rPr>
                <w:color w:val="000000"/>
                <w:szCs w:val="24"/>
              </w:rPr>
            </w:pPr>
            <w:r w:rsidRPr="00E42A54">
              <w:rPr>
                <w:color w:val="000000"/>
                <w:szCs w:val="24"/>
              </w:rPr>
              <w:t>0.60</w:t>
            </w:r>
          </w:p>
        </w:tc>
        <w:tc>
          <w:tcPr>
            <w:tcW w:w="960" w:type="dxa"/>
            <w:tcBorders>
              <w:top w:val="nil"/>
              <w:left w:val="nil"/>
              <w:bottom w:val="nil"/>
              <w:right w:val="nil"/>
            </w:tcBorders>
            <w:shd w:val="clear" w:color="auto" w:fill="auto"/>
            <w:noWrap/>
            <w:vAlign w:val="center"/>
            <w:hideMark/>
          </w:tcPr>
          <w:p w14:paraId="7B9B5824" w14:textId="77777777" w:rsidR="00112EDC" w:rsidRPr="00E42A54" w:rsidRDefault="00112EDC" w:rsidP="008679FF">
            <w:pPr>
              <w:pStyle w:val="NoSpacing"/>
              <w:rPr>
                <w:color w:val="000000"/>
                <w:szCs w:val="24"/>
              </w:rPr>
            </w:pPr>
            <w:r w:rsidRPr="00E42A54">
              <w:rPr>
                <w:color w:val="000000"/>
                <w:szCs w:val="24"/>
              </w:rPr>
              <w:t>0.26</w:t>
            </w:r>
          </w:p>
        </w:tc>
        <w:tc>
          <w:tcPr>
            <w:tcW w:w="960" w:type="dxa"/>
            <w:tcBorders>
              <w:top w:val="nil"/>
              <w:left w:val="nil"/>
              <w:bottom w:val="nil"/>
              <w:right w:val="nil"/>
            </w:tcBorders>
            <w:shd w:val="clear" w:color="auto" w:fill="auto"/>
            <w:noWrap/>
            <w:vAlign w:val="center"/>
            <w:hideMark/>
          </w:tcPr>
          <w:p w14:paraId="119150FF" w14:textId="77777777" w:rsidR="00112EDC" w:rsidRPr="00E42A54" w:rsidRDefault="00112EDC" w:rsidP="008679FF">
            <w:pPr>
              <w:pStyle w:val="NoSpacing"/>
              <w:rPr>
                <w:color w:val="000000"/>
                <w:szCs w:val="24"/>
              </w:rPr>
            </w:pPr>
            <w:r w:rsidRPr="00E42A54">
              <w:rPr>
                <w:color w:val="000000"/>
                <w:szCs w:val="24"/>
              </w:rPr>
              <w:t>1.87</w:t>
            </w:r>
          </w:p>
        </w:tc>
      </w:tr>
      <w:tr w:rsidR="00112EDC" w:rsidRPr="00112EDC" w14:paraId="76BFA4C8"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4E73FC35" w14:textId="77777777" w:rsidR="00112EDC" w:rsidRPr="00E42A54" w:rsidRDefault="00112EDC" w:rsidP="008679FF">
            <w:pPr>
              <w:pStyle w:val="NoSpacing"/>
              <w:rPr>
                <w:color w:val="000000"/>
                <w:szCs w:val="24"/>
              </w:rPr>
            </w:pPr>
            <w:r w:rsidRPr="00E42A54">
              <w:rPr>
                <w:color w:val="000000"/>
                <w:szCs w:val="24"/>
              </w:rPr>
              <w:t>1995</w:t>
            </w:r>
          </w:p>
        </w:tc>
        <w:tc>
          <w:tcPr>
            <w:tcW w:w="960" w:type="dxa"/>
            <w:tcBorders>
              <w:top w:val="nil"/>
              <w:left w:val="nil"/>
              <w:bottom w:val="nil"/>
              <w:right w:val="nil"/>
            </w:tcBorders>
            <w:shd w:val="clear" w:color="auto" w:fill="auto"/>
            <w:noWrap/>
            <w:vAlign w:val="center"/>
            <w:hideMark/>
          </w:tcPr>
          <w:p w14:paraId="529F56A4"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45CBC62B" w14:textId="77777777" w:rsidR="00112EDC" w:rsidRPr="00E42A54" w:rsidRDefault="00112EDC" w:rsidP="00127F44">
            <w:pPr>
              <w:pStyle w:val="NoSpacing"/>
              <w:tabs>
                <w:tab w:val="decimal" w:pos="354"/>
              </w:tabs>
              <w:rPr>
                <w:color w:val="000000"/>
                <w:szCs w:val="24"/>
              </w:rPr>
            </w:pPr>
            <w:r w:rsidRPr="00E42A54">
              <w:rPr>
                <w:color w:val="000000"/>
                <w:szCs w:val="24"/>
              </w:rPr>
              <w:t>2.11</w:t>
            </w:r>
          </w:p>
        </w:tc>
        <w:tc>
          <w:tcPr>
            <w:tcW w:w="848" w:type="dxa"/>
            <w:tcBorders>
              <w:top w:val="nil"/>
              <w:left w:val="nil"/>
              <w:bottom w:val="nil"/>
              <w:right w:val="nil"/>
            </w:tcBorders>
            <w:shd w:val="clear" w:color="auto" w:fill="auto"/>
            <w:noWrap/>
            <w:vAlign w:val="center"/>
            <w:hideMark/>
          </w:tcPr>
          <w:p w14:paraId="357E2B60" w14:textId="77777777" w:rsidR="00112EDC" w:rsidRPr="00E42A54" w:rsidRDefault="00112EDC" w:rsidP="008679FF">
            <w:pPr>
              <w:pStyle w:val="NoSpacing"/>
              <w:rPr>
                <w:color w:val="000000"/>
                <w:szCs w:val="24"/>
              </w:rPr>
            </w:pPr>
            <w:r w:rsidRPr="00E42A54">
              <w:rPr>
                <w:color w:val="000000"/>
                <w:szCs w:val="24"/>
              </w:rPr>
              <w:t>0.65</w:t>
            </w:r>
          </w:p>
        </w:tc>
        <w:tc>
          <w:tcPr>
            <w:tcW w:w="960" w:type="dxa"/>
            <w:tcBorders>
              <w:top w:val="nil"/>
              <w:left w:val="nil"/>
              <w:bottom w:val="nil"/>
              <w:right w:val="nil"/>
            </w:tcBorders>
            <w:shd w:val="clear" w:color="auto" w:fill="auto"/>
            <w:noWrap/>
            <w:vAlign w:val="center"/>
            <w:hideMark/>
          </w:tcPr>
          <w:p w14:paraId="4452CDDA" w14:textId="77777777" w:rsidR="00112EDC" w:rsidRPr="00E42A54" w:rsidRDefault="00112EDC" w:rsidP="008679FF">
            <w:pPr>
              <w:pStyle w:val="NoSpacing"/>
              <w:rPr>
                <w:color w:val="000000"/>
                <w:szCs w:val="24"/>
              </w:rPr>
            </w:pPr>
            <w:r w:rsidRPr="00E42A54">
              <w:rPr>
                <w:color w:val="000000"/>
                <w:szCs w:val="24"/>
              </w:rPr>
              <w:t>0.24</w:t>
            </w:r>
          </w:p>
        </w:tc>
        <w:tc>
          <w:tcPr>
            <w:tcW w:w="960" w:type="dxa"/>
            <w:tcBorders>
              <w:top w:val="nil"/>
              <w:left w:val="nil"/>
              <w:bottom w:val="nil"/>
              <w:right w:val="nil"/>
            </w:tcBorders>
            <w:shd w:val="clear" w:color="auto" w:fill="auto"/>
            <w:noWrap/>
            <w:vAlign w:val="center"/>
            <w:hideMark/>
          </w:tcPr>
          <w:p w14:paraId="37B00514" w14:textId="77777777" w:rsidR="00112EDC" w:rsidRPr="00E42A54" w:rsidRDefault="00112EDC" w:rsidP="008679FF">
            <w:pPr>
              <w:pStyle w:val="NoSpacing"/>
              <w:rPr>
                <w:color w:val="000000"/>
                <w:szCs w:val="24"/>
              </w:rPr>
            </w:pPr>
            <w:r w:rsidRPr="00E42A54">
              <w:rPr>
                <w:color w:val="000000"/>
                <w:szCs w:val="24"/>
              </w:rPr>
              <w:t>2.01</w:t>
            </w:r>
          </w:p>
        </w:tc>
      </w:tr>
      <w:tr w:rsidR="00112EDC" w:rsidRPr="00112EDC" w14:paraId="0993CE70"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312188AA" w14:textId="77777777" w:rsidR="00112EDC" w:rsidRPr="00E42A54" w:rsidRDefault="00112EDC" w:rsidP="008679FF">
            <w:pPr>
              <w:pStyle w:val="NoSpacing"/>
              <w:rPr>
                <w:color w:val="000000"/>
                <w:szCs w:val="24"/>
              </w:rPr>
            </w:pPr>
            <w:r w:rsidRPr="00E42A54">
              <w:rPr>
                <w:color w:val="000000"/>
                <w:szCs w:val="24"/>
              </w:rPr>
              <w:t>1996</w:t>
            </w:r>
          </w:p>
        </w:tc>
        <w:tc>
          <w:tcPr>
            <w:tcW w:w="960" w:type="dxa"/>
            <w:tcBorders>
              <w:top w:val="nil"/>
              <w:left w:val="nil"/>
              <w:bottom w:val="nil"/>
              <w:right w:val="nil"/>
            </w:tcBorders>
            <w:shd w:val="clear" w:color="auto" w:fill="auto"/>
            <w:noWrap/>
            <w:vAlign w:val="center"/>
            <w:hideMark/>
          </w:tcPr>
          <w:p w14:paraId="6E84ACE9"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nil"/>
              <w:left w:val="nil"/>
              <w:bottom w:val="nil"/>
              <w:right w:val="nil"/>
            </w:tcBorders>
            <w:shd w:val="clear" w:color="auto" w:fill="auto"/>
            <w:noWrap/>
            <w:vAlign w:val="center"/>
            <w:hideMark/>
          </w:tcPr>
          <w:p w14:paraId="72EA4799" w14:textId="77777777" w:rsidR="00112EDC" w:rsidRPr="00E42A54" w:rsidRDefault="00112EDC" w:rsidP="00127F44">
            <w:pPr>
              <w:pStyle w:val="NoSpacing"/>
              <w:tabs>
                <w:tab w:val="decimal" w:pos="354"/>
              </w:tabs>
              <w:rPr>
                <w:color w:val="000000"/>
                <w:szCs w:val="24"/>
              </w:rPr>
            </w:pPr>
            <w:r w:rsidRPr="00E42A54">
              <w:rPr>
                <w:color w:val="000000"/>
                <w:szCs w:val="24"/>
              </w:rPr>
              <w:t>3.84</w:t>
            </w:r>
          </w:p>
        </w:tc>
        <w:tc>
          <w:tcPr>
            <w:tcW w:w="848" w:type="dxa"/>
            <w:tcBorders>
              <w:top w:val="nil"/>
              <w:left w:val="nil"/>
              <w:bottom w:val="nil"/>
              <w:right w:val="nil"/>
            </w:tcBorders>
            <w:shd w:val="clear" w:color="auto" w:fill="auto"/>
            <w:noWrap/>
            <w:vAlign w:val="center"/>
            <w:hideMark/>
          </w:tcPr>
          <w:p w14:paraId="20C9BA96" w14:textId="77777777" w:rsidR="00112EDC" w:rsidRPr="00E42A54" w:rsidRDefault="00112EDC" w:rsidP="008679FF">
            <w:pPr>
              <w:pStyle w:val="NoSpacing"/>
              <w:rPr>
                <w:color w:val="000000"/>
                <w:szCs w:val="24"/>
              </w:rPr>
            </w:pPr>
            <w:r w:rsidRPr="00E42A54">
              <w:rPr>
                <w:color w:val="000000"/>
                <w:szCs w:val="24"/>
              </w:rPr>
              <w:t>0.45</w:t>
            </w:r>
          </w:p>
        </w:tc>
        <w:tc>
          <w:tcPr>
            <w:tcW w:w="960" w:type="dxa"/>
            <w:tcBorders>
              <w:top w:val="nil"/>
              <w:left w:val="nil"/>
              <w:bottom w:val="nil"/>
              <w:right w:val="nil"/>
            </w:tcBorders>
            <w:shd w:val="clear" w:color="auto" w:fill="auto"/>
            <w:noWrap/>
            <w:vAlign w:val="center"/>
            <w:hideMark/>
          </w:tcPr>
          <w:p w14:paraId="7607C5A9" w14:textId="77777777" w:rsidR="00112EDC" w:rsidRPr="00E42A54" w:rsidRDefault="00112EDC" w:rsidP="008679FF">
            <w:pPr>
              <w:pStyle w:val="NoSpacing"/>
              <w:rPr>
                <w:color w:val="000000"/>
                <w:szCs w:val="24"/>
              </w:rPr>
            </w:pPr>
            <w:r w:rsidRPr="00E42A54">
              <w:rPr>
                <w:color w:val="000000"/>
                <w:szCs w:val="24"/>
              </w:rPr>
              <w:t>0.18</w:t>
            </w:r>
          </w:p>
        </w:tc>
        <w:tc>
          <w:tcPr>
            <w:tcW w:w="960" w:type="dxa"/>
            <w:tcBorders>
              <w:top w:val="nil"/>
              <w:left w:val="nil"/>
              <w:bottom w:val="nil"/>
              <w:right w:val="nil"/>
            </w:tcBorders>
            <w:shd w:val="clear" w:color="auto" w:fill="auto"/>
            <w:noWrap/>
            <w:vAlign w:val="center"/>
            <w:hideMark/>
          </w:tcPr>
          <w:p w14:paraId="2336D4F0" w14:textId="77777777" w:rsidR="00112EDC" w:rsidRPr="00E42A54" w:rsidRDefault="00112EDC" w:rsidP="008679FF">
            <w:pPr>
              <w:pStyle w:val="NoSpacing"/>
              <w:rPr>
                <w:color w:val="000000"/>
                <w:szCs w:val="24"/>
              </w:rPr>
            </w:pPr>
            <w:r w:rsidRPr="00E42A54">
              <w:rPr>
                <w:color w:val="000000"/>
                <w:szCs w:val="24"/>
              </w:rPr>
              <w:t>2.43</w:t>
            </w:r>
          </w:p>
        </w:tc>
      </w:tr>
      <w:tr w:rsidR="00112EDC" w:rsidRPr="00112EDC" w14:paraId="16F01E91"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06634A99" w14:textId="77777777" w:rsidR="00112EDC" w:rsidRPr="00E42A54" w:rsidRDefault="00112EDC" w:rsidP="008679FF">
            <w:pPr>
              <w:pStyle w:val="NoSpacing"/>
              <w:rPr>
                <w:color w:val="000000"/>
                <w:szCs w:val="24"/>
              </w:rPr>
            </w:pPr>
            <w:r w:rsidRPr="00E42A54">
              <w:rPr>
                <w:color w:val="000000"/>
                <w:szCs w:val="24"/>
              </w:rPr>
              <w:t>1996</w:t>
            </w:r>
          </w:p>
        </w:tc>
        <w:tc>
          <w:tcPr>
            <w:tcW w:w="960" w:type="dxa"/>
            <w:tcBorders>
              <w:top w:val="nil"/>
              <w:left w:val="nil"/>
              <w:bottom w:val="nil"/>
              <w:right w:val="nil"/>
            </w:tcBorders>
            <w:shd w:val="clear" w:color="auto" w:fill="auto"/>
            <w:noWrap/>
            <w:vAlign w:val="center"/>
            <w:hideMark/>
          </w:tcPr>
          <w:p w14:paraId="2A3193FE"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4B074AE5" w14:textId="77777777" w:rsidR="00112EDC" w:rsidRPr="00E42A54" w:rsidRDefault="00112EDC" w:rsidP="00127F44">
            <w:pPr>
              <w:pStyle w:val="NoSpacing"/>
              <w:tabs>
                <w:tab w:val="decimal" w:pos="354"/>
              </w:tabs>
              <w:rPr>
                <w:color w:val="000000"/>
                <w:szCs w:val="24"/>
              </w:rPr>
            </w:pPr>
            <w:r w:rsidRPr="00E42A54">
              <w:rPr>
                <w:color w:val="000000"/>
                <w:szCs w:val="24"/>
              </w:rPr>
              <w:t>4.90</w:t>
            </w:r>
          </w:p>
        </w:tc>
        <w:tc>
          <w:tcPr>
            <w:tcW w:w="848" w:type="dxa"/>
            <w:tcBorders>
              <w:top w:val="nil"/>
              <w:left w:val="nil"/>
              <w:bottom w:val="nil"/>
              <w:right w:val="nil"/>
            </w:tcBorders>
            <w:shd w:val="clear" w:color="auto" w:fill="auto"/>
            <w:noWrap/>
            <w:vAlign w:val="center"/>
            <w:hideMark/>
          </w:tcPr>
          <w:p w14:paraId="71D101F0" w14:textId="77777777" w:rsidR="00112EDC" w:rsidRPr="00E42A54" w:rsidRDefault="00112EDC" w:rsidP="008679FF">
            <w:pPr>
              <w:pStyle w:val="NoSpacing"/>
              <w:rPr>
                <w:color w:val="000000"/>
                <w:szCs w:val="24"/>
              </w:rPr>
            </w:pPr>
            <w:r w:rsidRPr="00E42A54">
              <w:rPr>
                <w:color w:val="000000"/>
                <w:szCs w:val="24"/>
              </w:rPr>
              <w:t>0.37</w:t>
            </w:r>
          </w:p>
        </w:tc>
        <w:tc>
          <w:tcPr>
            <w:tcW w:w="960" w:type="dxa"/>
            <w:tcBorders>
              <w:top w:val="nil"/>
              <w:left w:val="nil"/>
              <w:bottom w:val="nil"/>
              <w:right w:val="nil"/>
            </w:tcBorders>
            <w:shd w:val="clear" w:color="auto" w:fill="auto"/>
            <w:noWrap/>
            <w:vAlign w:val="center"/>
            <w:hideMark/>
          </w:tcPr>
          <w:p w14:paraId="7A4450B7" w14:textId="77777777" w:rsidR="00112EDC" w:rsidRPr="00E42A54" w:rsidRDefault="00112EDC" w:rsidP="008679FF">
            <w:pPr>
              <w:pStyle w:val="NoSpacing"/>
              <w:rPr>
                <w:color w:val="000000"/>
                <w:szCs w:val="24"/>
              </w:rPr>
            </w:pPr>
            <w:r w:rsidRPr="00E42A54">
              <w:rPr>
                <w:color w:val="000000"/>
                <w:szCs w:val="24"/>
              </w:rPr>
              <w:t>0.34</w:t>
            </w:r>
          </w:p>
        </w:tc>
        <w:tc>
          <w:tcPr>
            <w:tcW w:w="960" w:type="dxa"/>
            <w:tcBorders>
              <w:top w:val="nil"/>
              <w:left w:val="nil"/>
              <w:bottom w:val="nil"/>
              <w:right w:val="nil"/>
            </w:tcBorders>
            <w:shd w:val="clear" w:color="auto" w:fill="auto"/>
            <w:noWrap/>
            <w:vAlign w:val="center"/>
            <w:hideMark/>
          </w:tcPr>
          <w:p w14:paraId="29D9787D" w14:textId="77777777" w:rsidR="00112EDC" w:rsidRPr="00E42A54" w:rsidRDefault="00112EDC" w:rsidP="008679FF">
            <w:pPr>
              <w:pStyle w:val="NoSpacing"/>
              <w:rPr>
                <w:color w:val="000000"/>
                <w:szCs w:val="24"/>
              </w:rPr>
            </w:pPr>
            <w:r w:rsidRPr="00E42A54">
              <w:rPr>
                <w:color w:val="000000"/>
                <w:szCs w:val="24"/>
              </w:rPr>
              <w:t>1.59</w:t>
            </w:r>
          </w:p>
        </w:tc>
      </w:tr>
      <w:tr w:rsidR="00112EDC" w:rsidRPr="00112EDC" w14:paraId="419A3EBA"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14D15B46" w14:textId="77777777" w:rsidR="00112EDC" w:rsidRPr="00E42A54" w:rsidRDefault="00112EDC" w:rsidP="008679FF">
            <w:pPr>
              <w:pStyle w:val="NoSpacing"/>
              <w:rPr>
                <w:color w:val="000000"/>
                <w:szCs w:val="24"/>
              </w:rPr>
            </w:pPr>
            <w:r w:rsidRPr="00E42A54">
              <w:rPr>
                <w:color w:val="000000"/>
                <w:szCs w:val="24"/>
              </w:rPr>
              <w:t>1996</w:t>
            </w:r>
          </w:p>
        </w:tc>
        <w:tc>
          <w:tcPr>
            <w:tcW w:w="960" w:type="dxa"/>
            <w:tcBorders>
              <w:top w:val="nil"/>
              <w:left w:val="nil"/>
              <w:bottom w:val="nil"/>
              <w:right w:val="nil"/>
            </w:tcBorders>
            <w:shd w:val="clear" w:color="auto" w:fill="auto"/>
            <w:noWrap/>
            <w:vAlign w:val="center"/>
            <w:hideMark/>
          </w:tcPr>
          <w:p w14:paraId="3EA7418E"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318AB61C" w14:textId="77777777" w:rsidR="00112EDC" w:rsidRPr="00E42A54" w:rsidRDefault="00112EDC" w:rsidP="00127F44">
            <w:pPr>
              <w:pStyle w:val="NoSpacing"/>
              <w:tabs>
                <w:tab w:val="decimal" w:pos="354"/>
              </w:tabs>
              <w:rPr>
                <w:color w:val="000000"/>
                <w:szCs w:val="24"/>
              </w:rPr>
            </w:pPr>
            <w:r w:rsidRPr="00E42A54">
              <w:rPr>
                <w:color w:val="000000"/>
                <w:szCs w:val="24"/>
              </w:rPr>
              <w:t>2.46</w:t>
            </w:r>
          </w:p>
        </w:tc>
        <w:tc>
          <w:tcPr>
            <w:tcW w:w="848" w:type="dxa"/>
            <w:tcBorders>
              <w:top w:val="nil"/>
              <w:left w:val="nil"/>
              <w:bottom w:val="nil"/>
              <w:right w:val="nil"/>
            </w:tcBorders>
            <w:shd w:val="clear" w:color="auto" w:fill="auto"/>
            <w:noWrap/>
            <w:vAlign w:val="center"/>
            <w:hideMark/>
          </w:tcPr>
          <w:p w14:paraId="31791BA0" w14:textId="77777777" w:rsidR="00112EDC" w:rsidRPr="00E42A54" w:rsidRDefault="00112EDC" w:rsidP="008679FF">
            <w:pPr>
              <w:pStyle w:val="NoSpacing"/>
              <w:rPr>
                <w:color w:val="000000"/>
                <w:szCs w:val="24"/>
              </w:rPr>
            </w:pPr>
            <w:r w:rsidRPr="00E42A54">
              <w:rPr>
                <w:color w:val="000000"/>
                <w:szCs w:val="24"/>
              </w:rPr>
              <w:t>0.60</w:t>
            </w:r>
          </w:p>
        </w:tc>
        <w:tc>
          <w:tcPr>
            <w:tcW w:w="960" w:type="dxa"/>
            <w:tcBorders>
              <w:top w:val="nil"/>
              <w:left w:val="nil"/>
              <w:bottom w:val="nil"/>
              <w:right w:val="nil"/>
            </w:tcBorders>
            <w:shd w:val="clear" w:color="auto" w:fill="auto"/>
            <w:noWrap/>
            <w:vAlign w:val="center"/>
            <w:hideMark/>
          </w:tcPr>
          <w:p w14:paraId="0E259F98" w14:textId="77777777" w:rsidR="00112EDC" w:rsidRPr="00E42A54" w:rsidRDefault="00112EDC" w:rsidP="008679FF">
            <w:pPr>
              <w:pStyle w:val="NoSpacing"/>
              <w:rPr>
                <w:color w:val="000000"/>
                <w:szCs w:val="24"/>
              </w:rPr>
            </w:pPr>
            <w:r w:rsidRPr="00E42A54">
              <w:rPr>
                <w:color w:val="000000"/>
                <w:szCs w:val="24"/>
              </w:rPr>
              <w:t>0.16</w:t>
            </w:r>
          </w:p>
        </w:tc>
        <w:tc>
          <w:tcPr>
            <w:tcW w:w="960" w:type="dxa"/>
            <w:tcBorders>
              <w:top w:val="nil"/>
              <w:left w:val="nil"/>
              <w:bottom w:val="nil"/>
              <w:right w:val="nil"/>
            </w:tcBorders>
            <w:shd w:val="clear" w:color="auto" w:fill="auto"/>
            <w:noWrap/>
            <w:vAlign w:val="center"/>
            <w:hideMark/>
          </w:tcPr>
          <w:p w14:paraId="54685539" w14:textId="77777777" w:rsidR="00112EDC" w:rsidRPr="00E42A54" w:rsidRDefault="00112EDC" w:rsidP="008679FF">
            <w:pPr>
              <w:pStyle w:val="NoSpacing"/>
              <w:rPr>
                <w:color w:val="000000"/>
                <w:szCs w:val="24"/>
              </w:rPr>
            </w:pPr>
            <w:r w:rsidRPr="00E42A54">
              <w:rPr>
                <w:color w:val="000000"/>
                <w:szCs w:val="24"/>
              </w:rPr>
              <w:t>2.57</w:t>
            </w:r>
          </w:p>
        </w:tc>
      </w:tr>
      <w:tr w:rsidR="00112EDC" w:rsidRPr="00112EDC" w14:paraId="5A7E7DD5"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5565494D" w14:textId="77777777" w:rsidR="00112EDC" w:rsidRPr="00E42A54" w:rsidRDefault="00112EDC" w:rsidP="008679FF">
            <w:pPr>
              <w:pStyle w:val="NoSpacing"/>
              <w:rPr>
                <w:color w:val="000000"/>
                <w:szCs w:val="24"/>
              </w:rPr>
            </w:pPr>
            <w:r w:rsidRPr="00E42A54">
              <w:rPr>
                <w:color w:val="000000"/>
                <w:szCs w:val="24"/>
              </w:rPr>
              <w:t>1996</w:t>
            </w:r>
          </w:p>
        </w:tc>
        <w:tc>
          <w:tcPr>
            <w:tcW w:w="960" w:type="dxa"/>
            <w:tcBorders>
              <w:top w:val="nil"/>
              <w:left w:val="nil"/>
              <w:bottom w:val="nil"/>
              <w:right w:val="nil"/>
            </w:tcBorders>
            <w:shd w:val="clear" w:color="auto" w:fill="auto"/>
            <w:noWrap/>
            <w:vAlign w:val="center"/>
            <w:hideMark/>
          </w:tcPr>
          <w:p w14:paraId="29B9DFBF"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5AC974E2" w14:textId="77777777" w:rsidR="00112EDC" w:rsidRPr="00E42A54" w:rsidRDefault="00112EDC" w:rsidP="00127F44">
            <w:pPr>
              <w:pStyle w:val="NoSpacing"/>
              <w:tabs>
                <w:tab w:val="decimal" w:pos="354"/>
              </w:tabs>
              <w:rPr>
                <w:color w:val="000000"/>
                <w:szCs w:val="24"/>
              </w:rPr>
            </w:pPr>
            <w:r w:rsidRPr="00E42A54">
              <w:rPr>
                <w:color w:val="000000"/>
                <w:szCs w:val="24"/>
              </w:rPr>
              <w:t>2.16</w:t>
            </w:r>
          </w:p>
        </w:tc>
        <w:tc>
          <w:tcPr>
            <w:tcW w:w="848" w:type="dxa"/>
            <w:tcBorders>
              <w:top w:val="nil"/>
              <w:left w:val="nil"/>
              <w:bottom w:val="nil"/>
              <w:right w:val="nil"/>
            </w:tcBorders>
            <w:shd w:val="clear" w:color="auto" w:fill="auto"/>
            <w:noWrap/>
            <w:vAlign w:val="center"/>
            <w:hideMark/>
          </w:tcPr>
          <w:p w14:paraId="7D95DB6A" w14:textId="77777777" w:rsidR="00112EDC" w:rsidRPr="00E42A54" w:rsidRDefault="00112EDC" w:rsidP="008679FF">
            <w:pPr>
              <w:pStyle w:val="NoSpacing"/>
              <w:rPr>
                <w:color w:val="000000"/>
                <w:szCs w:val="24"/>
              </w:rPr>
            </w:pPr>
            <w:r w:rsidRPr="00E42A54">
              <w:rPr>
                <w:color w:val="000000"/>
                <w:szCs w:val="24"/>
              </w:rPr>
              <w:t>0.65</w:t>
            </w:r>
          </w:p>
        </w:tc>
        <w:tc>
          <w:tcPr>
            <w:tcW w:w="960" w:type="dxa"/>
            <w:tcBorders>
              <w:top w:val="nil"/>
              <w:left w:val="nil"/>
              <w:bottom w:val="nil"/>
              <w:right w:val="nil"/>
            </w:tcBorders>
            <w:shd w:val="clear" w:color="auto" w:fill="auto"/>
            <w:noWrap/>
            <w:vAlign w:val="center"/>
            <w:hideMark/>
          </w:tcPr>
          <w:p w14:paraId="790F5F20" w14:textId="77777777" w:rsidR="00112EDC" w:rsidRPr="00E42A54" w:rsidRDefault="00112EDC" w:rsidP="008679FF">
            <w:pPr>
              <w:pStyle w:val="NoSpacing"/>
              <w:rPr>
                <w:color w:val="000000"/>
                <w:szCs w:val="24"/>
              </w:rPr>
            </w:pPr>
            <w:r w:rsidRPr="00E42A54">
              <w:rPr>
                <w:color w:val="000000"/>
                <w:szCs w:val="24"/>
              </w:rPr>
              <w:t>0.14</w:t>
            </w:r>
          </w:p>
        </w:tc>
        <w:tc>
          <w:tcPr>
            <w:tcW w:w="960" w:type="dxa"/>
            <w:tcBorders>
              <w:top w:val="nil"/>
              <w:left w:val="nil"/>
              <w:bottom w:val="nil"/>
              <w:right w:val="nil"/>
            </w:tcBorders>
            <w:shd w:val="clear" w:color="auto" w:fill="auto"/>
            <w:noWrap/>
            <w:vAlign w:val="center"/>
            <w:hideMark/>
          </w:tcPr>
          <w:p w14:paraId="5DC144EF" w14:textId="77777777" w:rsidR="00112EDC" w:rsidRPr="00E42A54" w:rsidRDefault="00112EDC" w:rsidP="008679FF">
            <w:pPr>
              <w:pStyle w:val="NoSpacing"/>
              <w:rPr>
                <w:color w:val="000000"/>
                <w:szCs w:val="24"/>
              </w:rPr>
            </w:pPr>
            <w:r w:rsidRPr="00E42A54">
              <w:rPr>
                <w:color w:val="000000"/>
                <w:szCs w:val="24"/>
              </w:rPr>
              <w:t>2.76</w:t>
            </w:r>
          </w:p>
        </w:tc>
      </w:tr>
      <w:tr w:rsidR="00112EDC" w:rsidRPr="00112EDC" w14:paraId="4DFD675D"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41AE3BA1" w14:textId="77777777" w:rsidR="00112EDC" w:rsidRPr="00E42A54" w:rsidRDefault="00112EDC" w:rsidP="008679FF">
            <w:pPr>
              <w:pStyle w:val="NoSpacing"/>
              <w:rPr>
                <w:color w:val="000000"/>
                <w:szCs w:val="24"/>
              </w:rPr>
            </w:pPr>
            <w:r w:rsidRPr="00E42A54">
              <w:rPr>
                <w:color w:val="000000"/>
                <w:szCs w:val="24"/>
              </w:rPr>
              <w:t>1997</w:t>
            </w:r>
          </w:p>
        </w:tc>
        <w:tc>
          <w:tcPr>
            <w:tcW w:w="960" w:type="dxa"/>
            <w:tcBorders>
              <w:top w:val="nil"/>
              <w:left w:val="nil"/>
              <w:bottom w:val="nil"/>
              <w:right w:val="nil"/>
            </w:tcBorders>
            <w:shd w:val="clear" w:color="auto" w:fill="auto"/>
            <w:noWrap/>
            <w:vAlign w:val="center"/>
            <w:hideMark/>
          </w:tcPr>
          <w:p w14:paraId="543274DE"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nil"/>
              <w:left w:val="nil"/>
              <w:bottom w:val="nil"/>
              <w:right w:val="nil"/>
            </w:tcBorders>
            <w:shd w:val="clear" w:color="auto" w:fill="auto"/>
            <w:noWrap/>
            <w:vAlign w:val="center"/>
            <w:hideMark/>
          </w:tcPr>
          <w:p w14:paraId="2EBA3946" w14:textId="77777777" w:rsidR="00112EDC" w:rsidRPr="00E42A54" w:rsidRDefault="00112EDC" w:rsidP="00127F44">
            <w:pPr>
              <w:pStyle w:val="NoSpacing"/>
              <w:tabs>
                <w:tab w:val="decimal" w:pos="354"/>
              </w:tabs>
              <w:rPr>
                <w:color w:val="000000"/>
                <w:szCs w:val="24"/>
              </w:rPr>
            </w:pPr>
            <w:r w:rsidRPr="00E42A54">
              <w:rPr>
                <w:color w:val="000000"/>
                <w:szCs w:val="24"/>
              </w:rPr>
              <w:t>4.09</w:t>
            </w:r>
          </w:p>
        </w:tc>
        <w:tc>
          <w:tcPr>
            <w:tcW w:w="848" w:type="dxa"/>
            <w:tcBorders>
              <w:top w:val="nil"/>
              <w:left w:val="nil"/>
              <w:bottom w:val="nil"/>
              <w:right w:val="nil"/>
            </w:tcBorders>
            <w:shd w:val="clear" w:color="auto" w:fill="auto"/>
            <w:noWrap/>
            <w:vAlign w:val="center"/>
            <w:hideMark/>
          </w:tcPr>
          <w:p w14:paraId="3933F6FD" w14:textId="77777777" w:rsidR="00112EDC" w:rsidRPr="00E42A54" w:rsidRDefault="00112EDC" w:rsidP="008679FF">
            <w:pPr>
              <w:pStyle w:val="NoSpacing"/>
              <w:rPr>
                <w:color w:val="000000"/>
                <w:szCs w:val="24"/>
              </w:rPr>
            </w:pPr>
            <w:r w:rsidRPr="00E42A54">
              <w:rPr>
                <w:color w:val="000000"/>
                <w:szCs w:val="24"/>
              </w:rPr>
              <w:t>0.43</w:t>
            </w:r>
          </w:p>
        </w:tc>
        <w:tc>
          <w:tcPr>
            <w:tcW w:w="960" w:type="dxa"/>
            <w:tcBorders>
              <w:top w:val="nil"/>
              <w:left w:val="nil"/>
              <w:bottom w:val="nil"/>
              <w:right w:val="nil"/>
            </w:tcBorders>
            <w:shd w:val="clear" w:color="auto" w:fill="auto"/>
            <w:noWrap/>
            <w:vAlign w:val="center"/>
            <w:hideMark/>
          </w:tcPr>
          <w:p w14:paraId="19972978" w14:textId="77777777" w:rsidR="00112EDC" w:rsidRPr="00E42A54" w:rsidRDefault="00112EDC" w:rsidP="008679FF">
            <w:pPr>
              <w:pStyle w:val="NoSpacing"/>
              <w:rPr>
                <w:color w:val="000000"/>
                <w:szCs w:val="24"/>
              </w:rPr>
            </w:pPr>
            <w:r w:rsidRPr="00E42A54">
              <w:rPr>
                <w:color w:val="000000"/>
                <w:szCs w:val="24"/>
              </w:rPr>
              <w:t>0.13</w:t>
            </w:r>
          </w:p>
        </w:tc>
        <w:tc>
          <w:tcPr>
            <w:tcW w:w="960" w:type="dxa"/>
            <w:tcBorders>
              <w:top w:val="nil"/>
              <w:left w:val="nil"/>
              <w:bottom w:val="nil"/>
              <w:right w:val="nil"/>
            </w:tcBorders>
            <w:shd w:val="clear" w:color="auto" w:fill="auto"/>
            <w:noWrap/>
            <w:vAlign w:val="center"/>
            <w:hideMark/>
          </w:tcPr>
          <w:p w14:paraId="571EA71A" w14:textId="77777777" w:rsidR="00112EDC" w:rsidRPr="00E42A54" w:rsidRDefault="00112EDC" w:rsidP="008679FF">
            <w:pPr>
              <w:pStyle w:val="NoSpacing"/>
              <w:rPr>
                <w:color w:val="000000"/>
                <w:szCs w:val="24"/>
              </w:rPr>
            </w:pPr>
            <w:r w:rsidRPr="00E42A54">
              <w:rPr>
                <w:color w:val="000000"/>
                <w:szCs w:val="24"/>
              </w:rPr>
              <w:t>2.88</w:t>
            </w:r>
          </w:p>
        </w:tc>
      </w:tr>
      <w:tr w:rsidR="00112EDC" w:rsidRPr="00112EDC" w14:paraId="59A31464"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0D73293D" w14:textId="77777777" w:rsidR="00112EDC" w:rsidRPr="00E42A54" w:rsidRDefault="00112EDC" w:rsidP="008679FF">
            <w:pPr>
              <w:pStyle w:val="NoSpacing"/>
              <w:rPr>
                <w:color w:val="000000"/>
                <w:szCs w:val="24"/>
              </w:rPr>
            </w:pPr>
            <w:r w:rsidRPr="00E42A54">
              <w:rPr>
                <w:color w:val="000000"/>
                <w:szCs w:val="24"/>
              </w:rPr>
              <w:t>1997</w:t>
            </w:r>
          </w:p>
        </w:tc>
        <w:tc>
          <w:tcPr>
            <w:tcW w:w="960" w:type="dxa"/>
            <w:tcBorders>
              <w:top w:val="nil"/>
              <w:left w:val="nil"/>
              <w:bottom w:val="nil"/>
              <w:right w:val="nil"/>
            </w:tcBorders>
            <w:shd w:val="clear" w:color="auto" w:fill="auto"/>
            <w:noWrap/>
            <w:vAlign w:val="center"/>
            <w:hideMark/>
          </w:tcPr>
          <w:p w14:paraId="1601C375"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5CB41F1E" w14:textId="77777777" w:rsidR="00112EDC" w:rsidRPr="00E42A54" w:rsidRDefault="00112EDC" w:rsidP="00127F44">
            <w:pPr>
              <w:pStyle w:val="NoSpacing"/>
              <w:tabs>
                <w:tab w:val="decimal" w:pos="354"/>
              </w:tabs>
              <w:rPr>
                <w:color w:val="000000"/>
                <w:szCs w:val="24"/>
              </w:rPr>
            </w:pPr>
            <w:r w:rsidRPr="00E42A54">
              <w:rPr>
                <w:color w:val="000000"/>
                <w:szCs w:val="24"/>
              </w:rPr>
              <w:t>5.25</w:t>
            </w:r>
          </w:p>
        </w:tc>
        <w:tc>
          <w:tcPr>
            <w:tcW w:w="848" w:type="dxa"/>
            <w:tcBorders>
              <w:top w:val="nil"/>
              <w:left w:val="nil"/>
              <w:bottom w:val="nil"/>
              <w:right w:val="nil"/>
            </w:tcBorders>
            <w:shd w:val="clear" w:color="auto" w:fill="auto"/>
            <w:noWrap/>
            <w:vAlign w:val="center"/>
            <w:hideMark/>
          </w:tcPr>
          <w:p w14:paraId="051AA3E9" w14:textId="77777777" w:rsidR="00112EDC" w:rsidRPr="00E42A54" w:rsidRDefault="00112EDC" w:rsidP="008679FF">
            <w:pPr>
              <w:pStyle w:val="NoSpacing"/>
              <w:rPr>
                <w:color w:val="000000"/>
                <w:szCs w:val="24"/>
              </w:rPr>
            </w:pPr>
            <w:r w:rsidRPr="00E42A54">
              <w:rPr>
                <w:color w:val="000000"/>
                <w:szCs w:val="24"/>
              </w:rPr>
              <w:t>0.35</w:t>
            </w:r>
          </w:p>
        </w:tc>
        <w:tc>
          <w:tcPr>
            <w:tcW w:w="960" w:type="dxa"/>
            <w:tcBorders>
              <w:top w:val="nil"/>
              <w:left w:val="nil"/>
              <w:bottom w:val="nil"/>
              <w:right w:val="nil"/>
            </w:tcBorders>
            <w:shd w:val="clear" w:color="auto" w:fill="auto"/>
            <w:noWrap/>
            <w:vAlign w:val="center"/>
            <w:hideMark/>
          </w:tcPr>
          <w:p w14:paraId="6A0EC53C" w14:textId="77777777" w:rsidR="00112EDC" w:rsidRPr="00E42A54" w:rsidRDefault="00112EDC" w:rsidP="008679FF">
            <w:pPr>
              <w:pStyle w:val="NoSpacing"/>
              <w:rPr>
                <w:color w:val="000000"/>
                <w:szCs w:val="24"/>
              </w:rPr>
            </w:pPr>
            <w:r w:rsidRPr="00E42A54">
              <w:rPr>
                <w:color w:val="000000"/>
                <w:szCs w:val="24"/>
              </w:rPr>
              <w:t>0.26</w:t>
            </w:r>
          </w:p>
        </w:tc>
        <w:tc>
          <w:tcPr>
            <w:tcW w:w="960" w:type="dxa"/>
            <w:tcBorders>
              <w:top w:val="nil"/>
              <w:left w:val="nil"/>
              <w:bottom w:val="nil"/>
              <w:right w:val="nil"/>
            </w:tcBorders>
            <w:shd w:val="clear" w:color="auto" w:fill="auto"/>
            <w:noWrap/>
            <w:vAlign w:val="center"/>
            <w:hideMark/>
          </w:tcPr>
          <w:p w14:paraId="53B1735A" w14:textId="77777777" w:rsidR="00112EDC" w:rsidRPr="00E42A54" w:rsidRDefault="00112EDC" w:rsidP="008679FF">
            <w:pPr>
              <w:pStyle w:val="NoSpacing"/>
              <w:rPr>
                <w:color w:val="000000"/>
                <w:szCs w:val="24"/>
              </w:rPr>
            </w:pPr>
            <w:r w:rsidRPr="00E42A54">
              <w:rPr>
                <w:color w:val="000000"/>
                <w:szCs w:val="24"/>
              </w:rPr>
              <w:t>1.87</w:t>
            </w:r>
          </w:p>
        </w:tc>
      </w:tr>
      <w:tr w:rsidR="00112EDC" w:rsidRPr="00112EDC" w14:paraId="7A767819"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60523238" w14:textId="77777777" w:rsidR="00112EDC" w:rsidRPr="00E42A54" w:rsidRDefault="00112EDC" w:rsidP="008679FF">
            <w:pPr>
              <w:pStyle w:val="NoSpacing"/>
              <w:rPr>
                <w:color w:val="000000"/>
                <w:szCs w:val="24"/>
              </w:rPr>
            </w:pPr>
            <w:r w:rsidRPr="00E42A54">
              <w:rPr>
                <w:color w:val="000000"/>
                <w:szCs w:val="24"/>
              </w:rPr>
              <w:t>1997</w:t>
            </w:r>
          </w:p>
        </w:tc>
        <w:tc>
          <w:tcPr>
            <w:tcW w:w="960" w:type="dxa"/>
            <w:tcBorders>
              <w:top w:val="nil"/>
              <w:left w:val="nil"/>
              <w:bottom w:val="nil"/>
              <w:right w:val="nil"/>
            </w:tcBorders>
            <w:shd w:val="clear" w:color="auto" w:fill="auto"/>
            <w:noWrap/>
            <w:vAlign w:val="center"/>
            <w:hideMark/>
          </w:tcPr>
          <w:p w14:paraId="4C5D6BC7"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36FC9E8A" w14:textId="77777777" w:rsidR="00112EDC" w:rsidRPr="00E42A54" w:rsidRDefault="00112EDC" w:rsidP="00127F44">
            <w:pPr>
              <w:pStyle w:val="NoSpacing"/>
              <w:tabs>
                <w:tab w:val="decimal" w:pos="354"/>
              </w:tabs>
              <w:rPr>
                <w:color w:val="000000"/>
                <w:szCs w:val="24"/>
              </w:rPr>
            </w:pPr>
            <w:r w:rsidRPr="00E42A54">
              <w:rPr>
                <w:color w:val="000000"/>
                <w:szCs w:val="24"/>
              </w:rPr>
              <w:t>2.61</w:t>
            </w:r>
          </w:p>
        </w:tc>
        <w:tc>
          <w:tcPr>
            <w:tcW w:w="848" w:type="dxa"/>
            <w:tcBorders>
              <w:top w:val="nil"/>
              <w:left w:val="nil"/>
              <w:bottom w:val="nil"/>
              <w:right w:val="nil"/>
            </w:tcBorders>
            <w:shd w:val="clear" w:color="auto" w:fill="auto"/>
            <w:noWrap/>
            <w:vAlign w:val="center"/>
            <w:hideMark/>
          </w:tcPr>
          <w:p w14:paraId="145AE788" w14:textId="77777777" w:rsidR="00112EDC" w:rsidRPr="00E42A54" w:rsidRDefault="00112EDC" w:rsidP="008679FF">
            <w:pPr>
              <w:pStyle w:val="NoSpacing"/>
              <w:rPr>
                <w:color w:val="000000"/>
                <w:szCs w:val="24"/>
              </w:rPr>
            </w:pPr>
            <w:r w:rsidRPr="00E42A54">
              <w:rPr>
                <w:color w:val="000000"/>
                <w:szCs w:val="24"/>
              </w:rPr>
              <w:t>0.59</w:t>
            </w:r>
          </w:p>
        </w:tc>
        <w:tc>
          <w:tcPr>
            <w:tcW w:w="960" w:type="dxa"/>
            <w:tcBorders>
              <w:top w:val="nil"/>
              <w:left w:val="nil"/>
              <w:bottom w:val="nil"/>
              <w:right w:val="nil"/>
            </w:tcBorders>
            <w:shd w:val="clear" w:color="auto" w:fill="auto"/>
            <w:noWrap/>
            <w:vAlign w:val="center"/>
            <w:hideMark/>
          </w:tcPr>
          <w:p w14:paraId="7E71063F" w14:textId="77777777" w:rsidR="00112EDC" w:rsidRPr="00E42A54" w:rsidRDefault="00112EDC" w:rsidP="008679FF">
            <w:pPr>
              <w:pStyle w:val="NoSpacing"/>
              <w:rPr>
                <w:color w:val="000000"/>
                <w:szCs w:val="24"/>
              </w:rPr>
            </w:pPr>
            <w:r w:rsidRPr="00E42A54">
              <w:rPr>
                <w:color w:val="000000"/>
                <w:szCs w:val="24"/>
              </w:rPr>
              <w:t>0.12</w:t>
            </w:r>
          </w:p>
        </w:tc>
        <w:tc>
          <w:tcPr>
            <w:tcW w:w="960" w:type="dxa"/>
            <w:tcBorders>
              <w:top w:val="nil"/>
              <w:left w:val="nil"/>
              <w:bottom w:val="nil"/>
              <w:right w:val="nil"/>
            </w:tcBorders>
            <w:shd w:val="clear" w:color="auto" w:fill="auto"/>
            <w:noWrap/>
            <w:vAlign w:val="center"/>
            <w:hideMark/>
          </w:tcPr>
          <w:p w14:paraId="5109A7C8" w14:textId="77777777" w:rsidR="00112EDC" w:rsidRPr="00E42A54" w:rsidRDefault="00112EDC" w:rsidP="008679FF">
            <w:pPr>
              <w:pStyle w:val="NoSpacing"/>
              <w:rPr>
                <w:color w:val="000000"/>
                <w:szCs w:val="24"/>
              </w:rPr>
            </w:pPr>
            <w:r w:rsidRPr="00E42A54">
              <w:rPr>
                <w:color w:val="000000"/>
                <w:szCs w:val="24"/>
              </w:rPr>
              <w:t>3.04</w:t>
            </w:r>
          </w:p>
        </w:tc>
      </w:tr>
      <w:tr w:rsidR="00112EDC" w:rsidRPr="00112EDC" w14:paraId="01468D41"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2DEA4C1F" w14:textId="77777777" w:rsidR="00112EDC" w:rsidRPr="00E42A54" w:rsidRDefault="00112EDC" w:rsidP="008679FF">
            <w:pPr>
              <w:pStyle w:val="NoSpacing"/>
              <w:rPr>
                <w:color w:val="000000"/>
                <w:szCs w:val="24"/>
              </w:rPr>
            </w:pPr>
            <w:r w:rsidRPr="00E42A54">
              <w:rPr>
                <w:color w:val="000000"/>
                <w:szCs w:val="24"/>
              </w:rPr>
              <w:t>1997</w:t>
            </w:r>
          </w:p>
        </w:tc>
        <w:tc>
          <w:tcPr>
            <w:tcW w:w="960" w:type="dxa"/>
            <w:tcBorders>
              <w:top w:val="nil"/>
              <w:left w:val="nil"/>
              <w:bottom w:val="nil"/>
              <w:right w:val="nil"/>
            </w:tcBorders>
            <w:shd w:val="clear" w:color="auto" w:fill="auto"/>
            <w:noWrap/>
            <w:vAlign w:val="center"/>
            <w:hideMark/>
          </w:tcPr>
          <w:p w14:paraId="1077109D"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42C51839" w14:textId="77777777" w:rsidR="00112EDC" w:rsidRPr="00E42A54" w:rsidRDefault="00112EDC" w:rsidP="00127F44">
            <w:pPr>
              <w:pStyle w:val="NoSpacing"/>
              <w:tabs>
                <w:tab w:val="decimal" w:pos="354"/>
              </w:tabs>
              <w:rPr>
                <w:color w:val="000000"/>
                <w:szCs w:val="24"/>
              </w:rPr>
            </w:pPr>
            <w:r w:rsidRPr="00E42A54">
              <w:rPr>
                <w:color w:val="000000"/>
                <w:szCs w:val="24"/>
              </w:rPr>
              <w:t>2.30</w:t>
            </w:r>
          </w:p>
        </w:tc>
        <w:tc>
          <w:tcPr>
            <w:tcW w:w="848" w:type="dxa"/>
            <w:tcBorders>
              <w:top w:val="nil"/>
              <w:left w:val="nil"/>
              <w:bottom w:val="nil"/>
              <w:right w:val="nil"/>
            </w:tcBorders>
            <w:shd w:val="clear" w:color="auto" w:fill="auto"/>
            <w:noWrap/>
            <w:vAlign w:val="center"/>
            <w:hideMark/>
          </w:tcPr>
          <w:p w14:paraId="1E3F1D99" w14:textId="77777777" w:rsidR="00112EDC" w:rsidRPr="00E42A54" w:rsidRDefault="00112EDC" w:rsidP="008679FF">
            <w:pPr>
              <w:pStyle w:val="NoSpacing"/>
              <w:rPr>
                <w:color w:val="000000"/>
                <w:szCs w:val="24"/>
              </w:rPr>
            </w:pPr>
            <w:r w:rsidRPr="00E42A54">
              <w:rPr>
                <w:color w:val="000000"/>
                <w:szCs w:val="24"/>
              </w:rPr>
              <w:t>0.64</w:t>
            </w:r>
          </w:p>
        </w:tc>
        <w:tc>
          <w:tcPr>
            <w:tcW w:w="960" w:type="dxa"/>
            <w:tcBorders>
              <w:top w:val="nil"/>
              <w:left w:val="nil"/>
              <w:bottom w:val="nil"/>
              <w:right w:val="nil"/>
            </w:tcBorders>
            <w:shd w:val="clear" w:color="auto" w:fill="auto"/>
            <w:noWrap/>
            <w:vAlign w:val="center"/>
            <w:hideMark/>
          </w:tcPr>
          <w:p w14:paraId="765F36B8" w14:textId="77777777" w:rsidR="00112EDC" w:rsidRPr="00E42A54" w:rsidRDefault="00112EDC" w:rsidP="008679FF">
            <w:pPr>
              <w:pStyle w:val="NoSpacing"/>
              <w:rPr>
                <w:color w:val="000000"/>
                <w:szCs w:val="24"/>
              </w:rPr>
            </w:pPr>
            <w:r w:rsidRPr="00E42A54">
              <w:rPr>
                <w:color w:val="000000"/>
                <w:szCs w:val="24"/>
              </w:rPr>
              <w:t>0.11</w:t>
            </w:r>
          </w:p>
        </w:tc>
        <w:tc>
          <w:tcPr>
            <w:tcW w:w="960" w:type="dxa"/>
            <w:tcBorders>
              <w:top w:val="nil"/>
              <w:left w:val="nil"/>
              <w:bottom w:val="nil"/>
              <w:right w:val="nil"/>
            </w:tcBorders>
            <w:shd w:val="clear" w:color="auto" w:fill="auto"/>
            <w:noWrap/>
            <w:vAlign w:val="center"/>
            <w:hideMark/>
          </w:tcPr>
          <w:p w14:paraId="3DC31D44" w14:textId="77777777" w:rsidR="00112EDC" w:rsidRPr="00E42A54" w:rsidRDefault="00112EDC" w:rsidP="008679FF">
            <w:pPr>
              <w:pStyle w:val="NoSpacing"/>
              <w:rPr>
                <w:color w:val="000000"/>
                <w:szCs w:val="24"/>
              </w:rPr>
            </w:pPr>
            <w:r w:rsidRPr="00E42A54">
              <w:rPr>
                <w:color w:val="000000"/>
                <w:szCs w:val="24"/>
              </w:rPr>
              <w:t>3.27</w:t>
            </w:r>
          </w:p>
        </w:tc>
      </w:tr>
      <w:tr w:rsidR="00112EDC" w:rsidRPr="00112EDC" w14:paraId="1D0E9273"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0AA59809" w14:textId="77777777" w:rsidR="00112EDC" w:rsidRPr="00E42A54" w:rsidRDefault="00112EDC" w:rsidP="008679FF">
            <w:pPr>
              <w:pStyle w:val="NoSpacing"/>
              <w:rPr>
                <w:color w:val="000000"/>
                <w:szCs w:val="24"/>
              </w:rPr>
            </w:pPr>
            <w:r w:rsidRPr="00E42A54">
              <w:rPr>
                <w:color w:val="000000"/>
                <w:szCs w:val="24"/>
              </w:rPr>
              <w:t>1998</w:t>
            </w:r>
          </w:p>
        </w:tc>
        <w:tc>
          <w:tcPr>
            <w:tcW w:w="960" w:type="dxa"/>
            <w:tcBorders>
              <w:top w:val="nil"/>
              <w:left w:val="nil"/>
              <w:bottom w:val="nil"/>
              <w:right w:val="nil"/>
            </w:tcBorders>
            <w:shd w:val="clear" w:color="auto" w:fill="auto"/>
            <w:noWrap/>
            <w:vAlign w:val="center"/>
            <w:hideMark/>
          </w:tcPr>
          <w:p w14:paraId="0DC64533"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nil"/>
              <w:left w:val="nil"/>
              <w:bottom w:val="nil"/>
              <w:right w:val="nil"/>
            </w:tcBorders>
            <w:shd w:val="clear" w:color="auto" w:fill="auto"/>
            <w:noWrap/>
            <w:vAlign w:val="center"/>
            <w:hideMark/>
          </w:tcPr>
          <w:p w14:paraId="0A596FCA" w14:textId="77777777" w:rsidR="00112EDC" w:rsidRPr="00E42A54" w:rsidRDefault="00112EDC" w:rsidP="00127F44">
            <w:pPr>
              <w:pStyle w:val="NoSpacing"/>
              <w:tabs>
                <w:tab w:val="decimal" w:pos="354"/>
              </w:tabs>
              <w:rPr>
                <w:color w:val="000000"/>
                <w:szCs w:val="24"/>
              </w:rPr>
            </w:pPr>
            <w:r w:rsidRPr="00E42A54">
              <w:rPr>
                <w:color w:val="000000"/>
                <w:szCs w:val="24"/>
              </w:rPr>
              <w:t>4.49</w:t>
            </w:r>
          </w:p>
        </w:tc>
        <w:tc>
          <w:tcPr>
            <w:tcW w:w="848" w:type="dxa"/>
            <w:tcBorders>
              <w:top w:val="nil"/>
              <w:left w:val="nil"/>
              <w:bottom w:val="nil"/>
              <w:right w:val="nil"/>
            </w:tcBorders>
            <w:shd w:val="clear" w:color="auto" w:fill="auto"/>
            <w:noWrap/>
            <w:vAlign w:val="center"/>
            <w:hideMark/>
          </w:tcPr>
          <w:p w14:paraId="24224155" w14:textId="77777777" w:rsidR="00112EDC" w:rsidRPr="00E42A54" w:rsidRDefault="00112EDC" w:rsidP="008679FF">
            <w:pPr>
              <w:pStyle w:val="NoSpacing"/>
              <w:rPr>
                <w:color w:val="000000"/>
                <w:szCs w:val="24"/>
              </w:rPr>
            </w:pPr>
            <w:r w:rsidRPr="00E42A54">
              <w:rPr>
                <w:color w:val="000000"/>
                <w:szCs w:val="24"/>
              </w:rPr>
              <w:t>0.41</w:t>
            </w:r>
          </w:p>
        </w:tc>
        <w:tc>
          <w:tcPr>
            <w:tcW w:w="960" w:type="dxa"/>
            <w:tcBorders>
              <w:top w:val="nil"/>
              <w:left w:val="nil"/>
              <w:bottom w:val="nil"/>
              <w:right w:val="nil"/>
            </w:tcBorders>
            <w:shd w:val="clear" w:color="auto" w:fill="auto"/>
            <w:noWrap/>
            <w:vAlign w:val="center"/>
            <w:hideMark/>
          </w:tcPr>
          <w:p w14:paraId="51312AC3" w14:textId="77777777" w:rsidR="00112EDC" w:rsidRPr="00E42A54" w:rsidRDefault="00112EDC" w:rsidP="008679FF">
            <w:pPr>
              <w:pStyle w:val="NoSpacing"/>
              <w:rPr>
                <w:color w:val="000000"/>
                <w:szCs w:val="24"/>
              </w:rPr>
            </w:pPr>
            <w:r w:rsidRPr="00E42A54">
              <w:rPr>
                <w:color w:val="000000"/>
                <w:szCs w:val="24"/>
              </w:rPr>
              <w:t>0.20</w:t>
            </w:r>
          </w:p>
        </w:tc>
        <w:tc>
          <w:tcPr>
            <w:tcW w:w="960" w:type="dxa"/>
            <w:tcBorders>
              <w:top w:val="nil"/>
              <w:left w:val="nil"/>
              <w:bottom w:val="nil"/>
              <w:right w:val="nil"/>
            </w:tcBorders>
            <w:shd w:val="clear" w:color="auto" w:fill="auto"/>
            <w:noWrap/>
            <w:vAlign w:val="center"/>
            <w:hideMark/>
          </w:tcPr>
          <w:p w14:paraId="66426AF8" w14:textId="77777777" w:rsidR="00112EDC" w:rsidRPr="00E42A54" w:rsidRDefault="00112EDC" w:rsidP="008679FF">
            <w:pPr>
              <w:pStyle w:val="NoSpacing"/>
              <w:rPr>
                <w:color w:val="000000"/>
                <w:szCs w:val="24"/>
              </w:rPr>
            </w:pPr>
            <w:r w:rsidRPr="00E42A54">
              <w:rPr>
                <w:color w:val="000000"/>
                <w:szCs w:val="24"/>
              </w:rPr>
              <w:t>2.18</w:t>
            </w:r>
          </w:p>
        </w:tc>
      </w:tr>
      <w:tr w:rsidR="00112EDC" w:rsidRPr="00112EDC" w14:paraId="49BC8CF3"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5314FDE6" w14:textId="77777777" w:rsidR="00112EDC" w:rsidRPr="00E42A54" w:rsidRDefault="00112EDC" w:rsidP="008679FF">
            <w:pPr>
              <w:pStyle w:val="NoSpacing"/>
              <w:rPr>
                <w:color w:val="000000"/>
                <w:szCs w:val="24"/>
              </w:rPr>
            </w:pPr>
            <w:r w:rsidRPr="00E42A54">
              <w:rPr>
                <w:color w:val="000000"/>
                <w:szCs w:val="24"/>
              </w:rPr>
              <w:t>1998</w:t>
            </w:r>
          </w:p>
        </w:tc>
        <w:tc>
          <w:tcPr>
            <w:tcW w:w="960" w:type="dxa"/>
            <w:tcBorders>
              <w:top w:val="nil"/>
              <w:left w:val="nil"/>
              <w:bottom w:val="nil"/>
              <w:right w:val="nil"/>
            </w:tcBorders>
            <w:shd w:val="clear" w:color="auto" w:fill="auto"/>
            <w:noWrap/>
            <w:vAlign w:val="center"/>
            <w:hideMark/>
          </w:tcPr>
          <w:p w14:paraId="675D3C44"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7EDDE320" w14:textId="77777777" w:rsidR="00112EDC" w:rsidRPr="00E42A54" w:rsidRDefault="00112EDC" w:rsidP="00127F44">
            <w:pPr>
              <w:pStyle w:val="NoSpacing"/>
              <w:tabs>
                <w:tab w:val="decimal" w:pos="354"/>
              </w:tabs>
              <w:rPr>
                <w:color w:val="000000"/>
                <w:szCs w:val="24"/>
              </w:rPr>
            </w:pPr>
            <w:r w:rsidRPr="00E42A54">
              <w:rPr>
                <w:color w:val="000000"/>
                <w:szCs w:val="24"/>
              </w:rPr>
              <w:t>5.72</w:t>
            </w:r>
          </w:p>
        </w:tc>
        <w:tc>
          <w:tcPr>
            <w:tcW w:w="848" w:type="dxa"/>
            <w:tcBorders>
              <w:top w:val="nil"/>
              <w:left w:val="nil"/>
              <w:bottom w:val="nil"/>
              <w:right w:val="nil"/>
            </w:tcBorders>
            <w:shd w:val="clear" w:color="auto" w:fill="auto"/>
            <w:noWrap/>
            <w:vAlign w:val="center"/>
            <w:hideMark/>
          </w:tcPr>
          <w:p w14:paraId="215F4E72" w14:textId="77777777" w:rsidR="00112EDC" w:rsidRPr="00E42A54" w:rsidRDefault="00112EDC" w:rsidP="008679FF">
            <w:pPr>
              <w:pStyle w:val="NoSpacing"/>
              <w:rPr>
                <w:color w:val="000000"/>
                <w:szCs w:val="24"/>
              </w:rPr>
            </w:pPr>
            <w:r w:rsidRPr="00E42A54">
              <w:rPr>
                <w:color w:val="000000"/>
                <w:szCs w:val="24"/>
              </w:rPr>
              <w:t>0.34</w:t>
            </w:r>
          </w:p>
        </w:tc>
        <w:tc>
          <w:tcPr>
            <w:tcW w:w="960" w:type="dxa"/>
            <w:tcBorders>
              <w:top w:val="nil"/>
              <w:left w:val="nil"/>
              <w:bottom w:val="nil"/>
              <w:right w:val="nil"/>
            </w:tcBorders>
            <w:shd w:val="clear" w:color="auto" w:fill="auto"/>
            <w:noWrap/>
            <w:vAlign w:val="center"/>
            <w:hideMark/>
          </w:tcPr>
          <w:p w14:paraId="60511CCA" w14:textId="77777777" w:rsidR="00112EDC" w:rsidRPr="00E42A54" w:rsidRDefault="00112EDC" w:rsidP="008679FF">
            <w:pPr>
              <w:pStyle w:val="NoSpacing"/>
              <w:rPr>
                <w:color w:val="000000"/>
                <w:szCs w:val="24"/>
              </w:rPr>
            </w:pPr>
            <w:r w:rsidRPr="00E42A54">
              <w:rPr>
                <w:color w:val="000000"/>
                <w:szCs w:val="24"/>
              </w:rPr>
              <w:t>0.36</w:t>
            </w:r>
          </w:p>
        </w:tc>
        <w:tc>
          <w:tcPr>
            <w:tcW w:w="960" w:type="dxa"/>
            <w:tcBorders>
              <w:top w:val="nil"/>
              <w:left w:val="nil"/>
              <w:bottom w:val="nil"/>
              <w:right w:val="nil"/>
            </w:tcBorders>
            <w:shd w:val="clear" w:color="auto" w:fill="auto"/>
            <w:noWrap/>
            <w:vAlign w:val="center"/>
            <w:hideMark/>
          </w:tcPr>
          <w:p w14:paraId="22CA6620" w14:textId="77777777" w:rsidR="00112EDC" w:rsidRPr="00E42A54" w:rsidRDefault="00112EDC" w:rsidP="008679FF">
            <w:pPr>
              <w:pStyle w:val="NoSpacing"/>
              <w:rPr>
                <w:color w:val="000000"/>
                <w:szCs w:val="24"/>
              </w:rPr>
            </w:pPr>
            <w:r w:rsidRPr="00E42A54">
              <w:rPr>
                <w:color w:val="000000"/>
                <w:szCs w:val="24"/>
              </w:rPr>
              <w:t>1.46</w:t>
            </w:r>
          </w:p>
        </w:tc>
      </w:tr>
      <w:tr w:rsidR="00112EDC" w:rsidRPr="00112EDC" w14:paraId="36D36CB1"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61783060" w14:textId="77777777" w:rsidR="00112EDC" w:rsidRPr="00E42A54" w:rsidRDefault="00112EDC" w:rsidP="008679FF">
            <w:pPr>
              <w:pStyle w:val="NoSpacing"/>
              <w:rPr>
                <w:color w:val="000000"/>
                <w:szCs w:val="24"/>
              </w:rPr>
            </w:pPr>
            <w:r w:rsidRPr="00E42A54">
              <w:rPr>
                <w:color w:val="000000"/>
                <w:szCs w:val="24"/>
              </w:rPr>
              <w:t>1998</w:t>
            </w:r>
          </w:p>
        </w:tc>
        <w:tc>
          <w:tcPr>
            <w:tcW w:w="960" w:type="dxa"/>
            <w:tcBorders>
              <w:top w:val="nil"/>
              <w:left w:val="nil"/>
              <w:bottom w:val="nil"/>
              <w:right w:val="nil"/>
            </w:tcBorders>
            <w:shd w:val="clear" w:color="auto" w:fill="auto"/>
            <w:noWrap/>
            <w:vAlign w:val="center"/>
            <w:hideMark/>
          </w:tcPr>
          <w:p w14:paraId="5AE4B481"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12EDACB5" w14:textId="77777777" w:rsidR="00112EDC" w:rsidRPr="00E42A54" w:rsidRDefault="00112EDC" w:rsidP="00127F44">
            <w:pPr>
              <w:pStyle w:val="NoSpacing"/>
              <w:tabs>
                <w:tab w:val="decimal" w:pos="354"/>
              </w:tabs>
              <w:rPr>
                <w:color w:val="000000"/>
                <w:szCs w:val="24"/>
              </w:rPr>
            </w:pPr>
            <w:r w:rsidRPr="00E42A54">
              <w:rPr>
                <w:color w:val="000000"/>
                <w:szCs w:val="24"/>
              </w:rPr>
              <w:t>2.87</w:t>
            </w:r>
          </w:p>
        </w:tc>
        <w:tc>
          <w:tcPr>
            <w:tcW w:w="848" w:type="dxa"/>
            <w:tcBorders>
              <w:top w:val="nil"/>
              <w:left w:val="nil"/>
              <w:bottom w:val="nil"/>
              <w:right w:val="nil"/>
            </w:tcBorders>
            <w:shd w:val="clear" w:color="auto" w:fill="auto"/>
            <w:noWrap/>
            <w:vAlign w:val="center"/>
            <w:hideMark/>
          </w:tcPr>
          <w:p w14:paraId="43074830" w14:textId="77777777" w:rsidR="00112EDC" w:rsidRPr="00E42A54" w:rsidRDefault="00112EDC" w:rsidP="008679FF">
            <w:pPr>
              <w:pStyle w:val="NoSpacing"/>
              <w:rPr>
                <w:color w:val="000000"/>
                <w:szCs w:val="24"/>
              </w:rPr>
            </w:pPr>
            <w:r w:rsidRPr="00E42A54">
              <w:rPr>
                <w:color w:val="000000"/>
                <w:szCs w:val="24"/>
              </w:rPr>
              <w:t>0.56</w:t>
            </w:r>
          </w:p>
        </w:tc>
        <w:tc>
          <w:tcPr>
            <w:tcW w:w="960" w:type="dxa"/>
            <w:tcBorders>
              <w:top w:val="nil"/>
              <w:left w:val="nil"/>
              <w:bottom w:val="nil"/>
              <w:right w:val="nil"/>
            </w:tcBorders>
            <w:shd w:val="clear" w:color="auto" w:fill="auto"/>
            <w:noWrap/>
            <w:vAlign w:val="center"/>
            <w:hideMark/>
          </w:tcPr>
          <w:p w14:paraId="09692844" w14:textId="77777777" w:rsidR="00112EDC" w:rsidRPr="00E42A54" w:rsidRDefault="00112EDC" w:rsidP="008679FF">
            <w:pPr>
              <w:pStyle w:val="NoSpacing"/>
              <w:rPr>
                <w:color w:val="000000"/>
                <w:szCs w:val="24"/>
              </w:rPr>
            </w:pPr>
            <w:r w:rsidRPr="00E42A54">
              <w:rPr>
                <w:color w:val="000000"/>
                <w:szCs w:val="24"/>
              </w:rPr>
              <w:t>0.18</w:t>
            </w:r>
          </w:p>
        </w:tc>
        <w:tc>
          <w:tcPr>
            <w:tcW w:w="960" w:type="dxa"/>
            <w:tcBorders>
              <w:top w:val="nil"/>
              <w:left w:val="nil"/>
              <w:bottom w:val="nil"/>
              <w:right w:val="nil"/>
            </w:tcBorders>
            <w:shd w:val="clear" w:color="auto" w:fill="auto"/>
            <w:noWrap/>
            <w:vAlign w:val="center"/>
            <w:hideMark/>
          </w:tcPr>
          <w:p w14:paraId="223A6F7A" w14:textId="77777777" w:rsidR="00112EDC" w:rsidRPr="00E42A54" w:rsidRDefault="00112EDC" w:rsidP="008679FF">
            <w:pPr>
              <w:pStyle w:val="NoSpacing"/>
              <w:rPr>
                <w:color w:val="000000"/>
                <w:szCs w:val="24"/>
              </w:rPr>
            </w:pPr>
            <w:r w:rsidRPr="00E42A54">
              <w:rPr>
                <w:color w:val="000000"/>
                <w:szCs w:val="24"/>
              </w:rPr>
              <w:t>2.30</w:t>
            </w:r>
          </w:p>
        </w:tc>
      </w:tr>
      <w:tr w:rsidR="00112EDC" w:rsidRPr="00112EDC" w14:paraId="1E051C76"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67FDA62E" w14:textId="77777777" w:rsidR="00112EDC" w:rsidRPr="00E42A54" w:rsidRDefault="00112EDC" w:rsidP="008679FF">
            <w:pPr>
              <w:pStyle w:val="NoSpacing"/>
              <w:rPr>
                <w:color w:val="000000"/>
                <w:szCs w:val="24"/>
              </w:rPr>
            </w:pPr>
            <w:r w:rsidRPr="00E42A54">
              <w:rPr>
                <w:color w:val="000000"/>
                <w:szCs w:val="24"/>
              </w:rPr>
              <w:t>1998</w:t>
            </w:r>
          </w:p>
        </w:tc>
        <w:tc>
          <w:tcPr>
            <w:tcW w:w="960" w:type="dxa"/>
            <w:tcBorders>
              <w:top w:val="nil"/>
              <w:left w:val="nil"/>
              <w:bottom w:val="nil"/>
              <w:right w:val="nil"/>
            </w:tcBorders>
            <w:shd w:val="clear" w:color="auto" w:fill="auto"/>
            <w:noWrap/>
            <w:vAlign w:val="center"/>
            <w:hideMark/>
          </w:tcPr>
          <w:p w14:paraId="08DD116D"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23F2267E" w14:textId="77777777" w:rsidR="00112EDC" w:rsidRPr="00E42A54" w:rsidRDefault="00112EDC" w:rsidP="00127F44">
            <w:pPr>
              <w:pStyle w:val="NoSpacing"/>
              <w:tabs>
                <w:tab w:val="decimal" w:pos="354"/>
              </w:tabs>
              <w:rPr>
                <w:color w:val="000000"/>
                <w:szCs w:val="24"/>
              </w:rPr>
            </w:pPr>
            <w:r w:rsidRPr="00E42A54">
              <w:rPr>
                <w:color w:val="000000"/>
                <w:szCs w:val="24"/>
              </w:rPr>
              <w:t>2.53</w:t>
            </w:r>
          </w:p>
        </w:tc>
        <w:tc>
          <w:tcPr>
            <w:tcW w:w="848" w:type="dxa"/>
            <w:tcBorders>
              <w:top w:val="nil"/>
              <w:left w:val="nil"/>
              <w:bottom w:val="nil"/>
              <w:right w:val="nil"/>
            </w:tcBorders>
            <w:shd w:val="clear" w:color="auto" w:fill="auto"/>
            <w:noWrap/>
            <w:vAlign w:val="center"/>
            <w:hideMark/>
          </w:tcPr>
          <w:p w14:paraId="1BBB637A" w14:textId="77777777" w:rsidR="00112EDC" w:rsidRPr="00E42A54" w:rsidRDefault="00112EDC" w:rsidP="008679FF">
            <w:pPr>
              <w:pStyle w:val="NoSpacing"/>
              <w:rPr>
                <w:color w:val="000000"/>
                <w:szCs w:val="24"/>
              </w:rPr>
            </w:pPr>
            <w:r w:rsidRPr="00E42A54">
              <w:rPr>
                <w:color w:val="000000"/>
                <w:szCs w:val="24"/>
              </w:rPr>
              <w:t>0.60</w:t>
            </w:r>
          </w:p>
        </w:tc>
        <w:tc>
          <w:tcPr>
            <w:tcW w:w="960" w:type="dxa"/>
            <w:tcBorders>
              <w:top w:val="nil"/>
              <w:left w:val="nil"/>
              <w:bottom w:val="nil"/>
              <w:right w:val="nil"/>
            </w:tcBorders>
            <w:shd w:val="clear" w:color="auto" w:fill="auto"/>
            <w:noWrap/>
            <w:vAlign w:val="center"/>
            <w:hideMark/>
          </w:tcPr>
          <w:p w14:paraId="7EE3FF88" w14:textId="77777777" w:rsidR="00112EDC" w:rsidRPr="00E42A54" w:rsidRDefault="00112EDC" w:rsidP="008679FF">
            <w:pPr>
              <w:pStyle w:val="NoSpacing"/>
              <w:rPr>
                <w:color w:val="000000"/>
                <w:szCs w:val="24"/>
              </w:rPr>
            </w:pPr>
            <w:r w:rsidRPr="00E42A54">
              <w:rPr>
                <w:color w:val="000000"/>
                <w:szCs w:val="24"/>
              </w:rPr>
              <w:t>0.16</w:t>
            </w:r>
          </w:p>
        </w:tc>
        <w:tc>
          <w:tcPr>
            <w:tcW w:w="960" w:type="dxa"/>
            <w:tcBorders>
              <w:top w:val="nil"/>
              <w:left w:val="nil"/>
              <w:bottom w:val="nil"/>
              <w:right w:val="nil"/>
            </w:tcBorders>
            <w:shd w:val="clear" w:color="auto" w:fill="auto"/>
            <w:noWrap/>
            <w:vAlign w:val="center"/>
            <w:hideMark/>
          </w:tcPr>
          <w:p w14:paraId="0BCEF7CD" w14:textId="77777777" w:rsidR="00112EDC" w:rsidRPr="00E42A54" w:rsidRDefault="00112EDC" w:rsidP="008679FF">
            <w:pPr>
              <w:pStyle w:val="NoSpacing"/>
              <w:rPr>
                <w:color w:val="000000"/>
                <w:szCs w:val="24"/>
              </w:rPr>
            </w:pPr>
            <w:r w:rsidRPr="00E42A54">
              <w:rPr>
                <w:color w:val="000000"/>
                <w:szCs w:val="24"/>
              </w:rPr>
              <w:t>2.48</w:t>
            </w:r>
          </w:p>
        </w:tc>
      </w:tr>
      <w:tr w:rsidR="00112EDC" w:rsidRPr="00112EDC" w14:paraId="3F4ECB1B"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45219C0E" w14:textId="77777777" w:rsidR="00112EDC" w:rsidRPr="00E42A54" w:rsidRDefault="00112EDC" w:rsidP="008679FF">
            <w:pPr>
              <w:pStyle w:val="NoSpacing"/>
              <w:rPr>
                <w:color w:val="000000"/>
                <w:szCs w:val="24"/>
              </w:rPr>
            </w:pPr>
            <w:r w:rsidRPr="00E42A54">
              <w:rPr>
                <w:color w:val="000000"/>
                <w:szCs w:val="24"/>
              </w:rPr>
              <w:t>1999</w:t>
            </w:r>
          </w:p>
        </w:tc>
        <w:tc>
          <w:tcPr>
            <w:tcW w:w="960" w:type="dxa"/>
            <w:tcBorders>
              <w:top w:val="nil"/>
              <w:left w:val="nil"/>
              <w:bottom w:val="nil"/>
              <w:right w:val="nil"/>
            </w:tcBorders>
            <w:shd w:val="clear" w:color="auto" w:fill="auto"/>
            <w:noWrap/>
            <w:vAlign w:val="center"/>
            <w:hideMark/>
          </w:tcPr>
          <w:p w14:paraId="356C9FFA"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nil"/>
              <w:left w:val="nil"/>
              <w:bottom w:val="nil"/>
              <w:right w:val="nil"/>
            </w:tcBorders>
            <w:shd w:val="clear" w:color="auto" w:fill="auto"/>
            <w:noWrap/>
            <w:vAlign w:val="center"/>
            <w:hideMark/>
          </w:tcPr>
          <w:p w14:paraId="2341F9F6" w14:textId="77777777" w:rsidR="00112EDC" w:rsidRPr="00E42A54" w:rsidRDefault="00112EDC" w:rsidP="00127F44">
            <w:pPr>
              <w:pStyle w:val="NoSpacing"/>
              <w:tabs>
                <w:tab w:val="decimal" w:pos="354"/>
              </w:tabs>
              <w:rPr>
                <w:color w:val="000000"/>
                <w:szCs w:val="24"/>
              </w:rPr>
            </w:pPr>
            <w:r w:rsidRPr="00E42A54">
              <w:rPr>
                <w:color w:val="000000"/>
                <w:szCs w:val="24"/>
              </w:rPr>
              <w:t>4.61</w:t>
            </w:r>
          </w:p>
        </w:tc>
        <w:tc>
          <w:tcPr>
            <w:tcW w:w="848" w:type="dxa"/>
            <w:tcBorders>
              <w:top w:val="nil"/>
              <w:left w:val="nil"/>
              <w:bottom w:val="nil"/>
              <w:right w:val="nil"/>
            </w:tcBorders>
            <w:shd w:val="clear" w:color="auto" w:fill="auto"/>
            <w:noWrap/>
            <w:vAlign w:val="center"/>
            <w:hideMark/>
          </w:tcPr>
          <w:p w14:paraId="351F186D" w14:textId="77777777" w:rsidR="00112EDC" w:rsidRPr="00E42A54" w:rsidRDefault="00112EDC" w:rsidP="008679FF">
            <w:pPr>
              <w:pStyle w:val="NoSpacing"/>
              <w:rPr>
                <w:color w:val="000000"/>
                <w:szCs w:val="24"/>
              </w:rPr>
            </w:pPr>
            <w:r w:rsidRPr="00E42A54">
              <w:rPr>
                <w:color w:val="000000"/>
                <w:szCs w:val="24"/>
              </w:rPr>
              <w:t>0.39</w:t>
            </w:r>
          </w:p>
        </w:tc>
        <w:tc>
          <w:tcPr>
            <w:tcW w:w="960" w:type="dxa"/>
            <w:tcBorders>
              <w:top w:val="nil"/>
              <w:left w:val="nil"/>
              <w:bottom w:val="nil"/>
              <w:right w:val="nil"/>
            </w:tcBorders>
            <w:shd w:val="clear" w:color="auto" w:fill="auto"/>
            <w:noWrap/>
            <w:vAlign w:val="center"/>
            <w:hideMark/>
          </w:tcPr>
          <w:p w14:paraId="04F8E112" w14:textId="77777777" w:rsidR="00112EDC" w:rsidRPr="00E42A54" w:rsidRDefault="00112EDC" w:rsidP="008679FF">
            <w:pPr>
              <w:pStyle w:val="NoSpacing"/>
              <w:rPr>
                <w:color w:val="000000"/>
                <w:szCs w:val="24"/>
              </w:rPr>
            </w:pPr>
            <w:r w:rsidRPr="00E42A54">
              <w:rPr>
                <w:color w:val="000000"/>
                <w:szCs w:val="24"/>
              </w:rPr>
              <w:t>0.20</w:t>
            </w:r>
          </w:p>
        </w:tc>
        <w:tc>
          <w:tcPr>
            <w:tcW w:w="960" w:type="dxa"/>
            <w:tcBorders>
              <w:top w:val="nil"/>
              <w:left w:val="nil"/>
              <w:bottom w:val="nil"/>
              <w:right w:val="nil"/>
            </w:tcBorders>
            <w:shd w:val="clear" w:color="auto" w:fill="auto"/>
            <w:noWrap/>
            <w:vAlign w:val="center"/>
            <w:hideMark/>
          </w:tcPr>
          <w:p w14:paraId="5ADF305A" w14:textId="77777777" w:rsidR="00112EDC" w:rsidRPr="00E42A54" w:rsidRDefault="00112EDC" w:rsidP="008679FF">
            <w:pPr>
              <w:pStyle w:val="NoSpacing"/>
              <w:rPr>
                <w:color w:val="000000"/>
                <w:szCs w:val="24"/>
              </w:rPr>
            </w:pPr>
            <w:r w:rsidRPr="00E42A54">
              <w:rPr>
                <w:color w:val="000000"/>
                <w:szCs w:val="24"/>
              </w:rPr>
              <w:t>2.22</w:t>
            </w:r>
          </w:p>
        </w:tc>
      </w:tr>
      <w:tr w:rsidR="00112EDC" w:rsidRPr="00112EDC" w14:paraId="72E6F1F3"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4CD29F8D" w14:textId="77777777" w:rsidR="00112EDC" w:rsidRPr="00E42A54" w:rsidRDefault="00112EDC" w:rsidP="008679FF">
            <w:pPr>
              <w:pStyle w:val="NoSpacing"/>
              <w:rPr>
                <w:color w:val="000000"/>
                <w:szCs w:val="24"/>
              </w:rPr>
            </w:pPr>
            <w:r w:rsidRPr="00E42A54">
              <w:rPr>
                <w:color w:val="000000"/>
                <w:szCs w:val="24"/>
              </w:rPr>
              <w:t>1999</w:t>
            </w:r>
          </w:p>
        </w:tc>
        <w:tc>
          <w:tcPr>
            <w:tcW w:w="960" w:type="dxa"/>
            <w:tcBorders>
              <w:top w:val="nil"/>
              <w:left w:val="nil"/>
              <w:bottom w:val="nil"/>
              <w:right w:val="nil"/>
            </w:tcBorders>
            <w:shd w:val="clear" w:color="auto" w:fill="auto"/>
            <w:noWrap/>
            <w:vAlign w:val="center"/>
            <w:hideMark/>
          </w:tcPr>
          <w:p w14:paraId="473FCEC5"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75EC40A4" w14:textId="77777777" w:rsidR="00112EDC" w:rsidRPr="00E42A54" w:rsidRDefault="00112EDC" w:rsidP="00127F44">
            <w:pPr>
              <w:pStyle w:val="NoSpacing"/>
              <w:tabs>
                <w:tab w:val="decimal" w:pos="354"/>
              </w:tabs>
              <w:rPr>
                <w:color w:val="000000"/>
                <w:szCs w:val="24"/>
              </w:rPr>
            </w:pPr>
            <w:r w:rsidRPr="00E42A54">
              <w:rPr>
                <w:color w:val="000000"/>
                <w:szCs w:val="24"/>
              </w:rPr>
              <w:t>5.69</w:t>
            </w:r>
          </w:p>
        </w:tc>
        <w:tc>
          <w:tcPr>
            <w:tcW w:w="848" w:type="dxa"/>
            <w:tcBorders>
              <w:top w:val="nil"/>
              <w:left w:val="nil"/>
              <w:bottom w:val="nil"/>
              <w:right w:val="nil"/>
            </w:tcBorders>
            <w:shd w:val="clear" w:color="auto" w:fill="auto"/>
            <w:noWrap/>
            <w:vAlign w:val="center"/>
            <w:hideMark/>
          </w:tcPr>
          <w:p w14:paraId="0378D50F" w14:textId="77777777" w:rsidR="00112EDC" w:rsidRPr="00E42A54" w:rsidRDefault="00112EDC" w:rsidP="008679FF">
            <w:pPr>
              <w:pStyle w:val="NoSpacing"/>
              <w:rPr>
                <w:color w:val="000000"/>
                <w:szCs w:val="24"/>
              </w:rPr>
            </w:pPr>
            <w:r w:rsidRPr="00E42A54">
              <w:rPr>
                <w:color w:val="000000"/>
                <w:szCs w:val="24"/>
              </w:rPr>
              <w:t>0.34</w:t>
            </w:r>
          </w:p>
        </w:tc>
        <w:tc>
          <w:tcPr>
            <w:tcW w:w="960" w:type="dxa"/>
            <w:tcBorders>
              <w:top w:val="nil"/>
              <w:left w:val="nil"/>
              <w:bottom w:val="nil"/>
              <w:right w:val="nil"/>
            </w:tcBorders>
            <w:shd w:val="clear" w:color="auto" w:fill="auto"/>
            <w:noWrap/>
            <w:vAlign w:val="center"/>
            <w:hideMark/>
          </w:tcPr>
          <w:p w14:paraId="4D924F21" w14:textId="77777777" w:rsidR="00112EDC" w:rsidRPr="00E42A54" w:rsidRDefault="00112EDC" w:rsidP="008679FF">
            <w:pPr>
              <w:pStyle w:val="NoSpacing"/>
              <w:rPr>
                <w:color w:val="000000"/>
                <w:szCs w:val="24"/>
              </w:rPr>
            </w:pPr>
            <w:r w:rsidRPr="00E42A54">
              <w:rPr>
                <w:color w:val="000000"/>
                <w:szCs w:val="24"/>
              </w:rPr>
              <w:t>0.36</w:t>
            </w:r>
          </w:p>
        </w:tc>
        <w:tc>
          <w:tcPr>
            <w:tcW w:w="960" w:type="dxa"/>
            <w:tcBorders>
              <w:top w:val="nil"/>
              <w:left w:val="nil"/>
              <w:bottom w:val="nil"/>
              <w:right w:val="nil"/>
            </w:tcBorders>
            <w:shd w:val="clear" w:color="auto" w:fill="auto"/>
            <w:noWrap/>
            <w:vAlign w:val="center"/>
            <w:hideMark/>
          </w:tcPr>
          <w:p w14:paraId="00F2850D" w14:textId="77777777" w:rsidR="00112EDC" w:rsidRPr="00E42A54" w:rsidRDefault="00112EDC" w:rsidP="008679FF">
            <w:pPr>
              <w:pStyle w:val="NoSpacing"/>
              <w:rPr>
                <w:color w:val="000000"/>
                <w:szCs w:val="24"/>
              </w:rPr>
            </w:pPr>
            <w:r w:rsidRPr="00E42A54">
              <w:rPr>
                <w:color w:val="000000"/>
                <w:szCs w:val="24"/>
              </w:rPr>
              <w:t>1.48</w:t>
            </w:r>
          </w:p>
        </w:tc>
      </w:tr>
      <w:tr w:rsidR="00112EDC" w:rsidRPr="00112EDC" w14:paraId="58E62891"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20DCFA41" w14:textId="77777777" w:rsidR="00112EDC" w:rsidRPr="00E42A54" w:rsidRDefault="00112EDC" w:rsidP="008679FF">
            <w:pPr>
              <w:pStyle w:val="NoSpacing"/>
              <w:rPr>
                <w:color w:val="000000"/>
                <w:szCs w:val="24"/>
              </w:rPr>
            </w:pPr>
            <w:r w:rsidRPr="00E42A54">
              <w:rPr>
                <w:color w:val="000000"/>
                <w:szCs w:val="24"/>
              </w:rPr>
              <w:t>1999</w:t>
            </w:r>
          </w:p>
        </w:tc>
        <w:tc>
          <w:tcPr>
            <w:tcW w:w="960" w:type="dxa"/>
            <w:tcBorders>
              <w:top w:val="nil"/>
              <w:left w:val="nil"/>
              <w:bottom w:val="nil"/>
              <w:right w:val="nil"/>
            </w:tcBorders>
            <w:shd w:val="clear" w:color="auto" w:fill="auto"/>
            <w:noWrap/>
            <w:vAlign w:val="center"/>
            <w:hideMark/>
          </w:tcPr>
          <w:p w14:paraId="5879621C"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43B5A57D" w14:textId="77777777" w:rsidR="00112EDC" w:rsidRPr="00E42A54" w:rsidRDefault="00112EDC" w:rsidP="00127F44">
            <w:pPr>
              <w:pStyle w:val="NoSpacing"/>
              <w:tabs>
                <w:tab w:val="decimal" w:pos="354"/>
              </w:tabs>
              <w:rPr>
                <w:color w:val="000000"/>
                <w:szCs w:val="24"/>
              </w:rPr>
            </w:pPr>
            <w:r w:rsidRPr="00E42A54">
              <w:rPr>
                <w:color w:val="000000"/>
                <w:szCs w:val="24"/>
              </w:rPr>
              <w:t>3.01</w:t>
            </w:r>
          </w:p>
        </w:tc>
        <w:tc>
          <w:tcPr>
            <w:tcW w:w="848" w:type="dxa"/>
            <w:tcBorders>
              <w:top w:val="nil"/>
              <w:left w:val="nil"/>
              <w:bottom w:val="nil"/>
              <w:right w:val="nil"/>
            </w:tcBorders>
            <w:shd w:val="clear" w:color="auto" w:fill="auto"/>
            <w:noWrap/>
            <w:vAlign w:val="center"/>
            <w:hideMark/>
          </w:tcPr>
          <w:p w14:paraId="2A9A73AB" w14:textId="77777777" w:rsidR="00112EDC" w:rsidRPr="00E42A54" w:rsidRDefault="00112EDC" w:rsidP="008679FF">
            <w:pPr>
              <w:pStyle w:val="NoSpacing"/>
              <w:rPr>
                <w:color w:val="000000"/>
                <w:szCs w:val="24"/>
              </w:rPr>
            </w:pPr>
            <w:r w:rsidRPr="00E42A54">
              <w:rPr>
                <w:color w:val="000000"/>
                <w:szCs w:val="24"/>
              </w:rPr>
              <w:t>0.52</w:t>
            </w:r>
          </w:p>
        </w:tc>
        <w:tc>
          <w:tcPr>
            <w:tcW w:w="960" w:type="dxa"/>
            <w:tcBorders>
              <w:top w:val="nil"/>
              <w:left w:val="nil"/>
              <w:bottom w:val="nil"/>
              <w:right w:val="nil"/>
            </w:tcBorders>
            <w:shd w:val="clear" w:color="auto" w:fill="auto"/>
            <w:noWrap/>
            <w:vAlign w:val="center"/>
            <w:hideMark/>
          </w:tcPr>
          <w:p w14:paraId="02543700" w14:textId="77777777" w:rsidR="00112EDC" w:rsidRPr="00E42A54" w:rsidRDefault="00112EDC" w:rsidP="008679FF">
            <w:pPr>
              <w:pStyle w:val="NoSpacing"/>
              <w:rPr>
                <w:color w:val="000000"/>
                <w:szCs w:val="24"/>
              </w:rPr>
            </w:pPr>
            <w:r w:rsidRPr="00E42A54">
              <w:rPr>
                <w:color w:val="000000"/>
                <w:szCs w:val="24"/>
              </w:rPr>
              <w:t>0.18</w:t>
            </w:r>
          </w:p>
        </w:tc>
        <w:tc>
          <w:tcPr>
            <w:tcW w:w="960" w:type="dxa"/>
            <w:tcBorders>
              <w:top w:val="nil"/>
              <w:left w:val="nil"/>
              <w:bottom w:val="nil"/>
              <w:right w:val="nil"/>
            </w:tcBorders>
            <w:shd w:val="clear" w:color="auto" w:fill="auto"/>
            <w:noWrap/>
            <w:vAlign w:val="center"/>
            <w:hideMark/>
          </w:tcPr>
          <w:p w14:paraId="73CEA03D" w14:textId="77777777" w:rsidR="00112EDC" w:rsidRPr="00E42A54" w:rsidRDefault="00112EDC" w:rsidP="008679FF">
            <w:pPr>
              <w:pStyle w:val="NoSpacing"/>
              <w:rPr>
                <w:color w:val="000000"/>
                <w:szCs w:val="24"/>
              </w:rPr>
            </w:pPr>
            <w:r w:rsidRPr="00E42A54">
              <w:rPr>
                <w:color w:val="000000"/>
                <w:szCs w:val="24"/>
              </w:rPr>
              <w:t>2.34</w:t>
            </w:r>
          </w:p>
        </w:tc>
      </w:tr>
      <w:tr w:rsidR="00112EDC" w:rsidRPr="00112EDC" w14:paraId="14AC1124"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10AF1C85" w14:textId="77777777" w:rsidR="00112EDC" w:rsidRPr="00E42A54" w:rsidRDefault="00112EDC" w:rsidP="008679FF">
            <w:pPr>
              <w:pStyle w:val="NoSpacing"/>
              <w:rPr>
                <w:color w:val="000000"/>
                <w:szCs w:val="24"/>
              </w:rPr>
            </w:pPr>
            <w:r w:rsidRPr="00E42A54">
              <w:rPr>
                <w:color w:val="000000"/>
                <w:szCs w:val="24"/>
              </w:rPr>
              <w:t>1999</w:t>
            </w:r>
          </w:p>
        </w:tc>
        <w:tc>
          <w:tcPr>
            <w:tcW w:w="960" w:type="dxa"/>
            <w:tcBorders>
              <w:top w:val="nil"/>
              <w:left w:val="nil"/>
              <w:bottom w:val="nil"/>
              <w:right w:val="nil"/>
            </w:tcBorders>
            <w:shd w:val="clear" w:color="auto" w:fill="auto"/>
            <w:noWrap/>
            <w:vAlign w:val="center"/>
            <w:hideMark/>
          </w:tcPr>
          <w:p w14:paraId="28E5C5A0"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11DB6485" w14:textId="77777777" w:rsidR="00112EDC" w:rsidRPr="00E42A54" w:rsidRDefault="00112EDC" w:rsidP="00127F44">
            <w:pPr>
              <w:pStyle w:val="NoSpacing"/>
              <w:tabs>
                <w:tab w:val="decimal" w:pos="354"/>
              </w:tabs>
              <w:rPr>
                <w:color w:val="000000"/>
                <w:szCs w:val="24"/>
              </w:rPr>
            </w:pPr>
            <w:r w:rsidRPr="00E42A54">
              <w:rPr>
                <w:color w:val="000000"/>
                <w:szCs w:val="24"/>
              </w:rPr>
              <w:t>2.66</w:t>
            </w:r>
          </w:p>
        </w:tc>
        <w:tc>
          <w:tcPr>
            <w:tcW w:w="848" w:type="dxa"/>
            <w:tcBorders>
              <w:top w:val="nil"/>
              <w:left w:val="nil"/>
              <w:bottom w:val="nil"/>
              <w:right w:val="nil"/>
            </w:tcBorders>
            <w:shd w:val="clear" w:color="auto" w:fill="auto"/>
            <w:noWrap/>
            <w:vAlign w:val="center"/>
            <w:hideMark/>
          </w:tcPr>
          <w:p w14:paraId="28ABEA2E" w14:textId="77777777" w:rsidR="00112EDC" w:rsidRPr="00E42A54" w:rsidRDefault="00112EDC" w:rsidP="008679FF">
            <w:pPr>
              <w:pStyle w:val="NoSpacing"/>
              <w:rPr>
                <w:color w:val="000000"/>
                <w:szCs w:val="24"/>
              </w:rPr>
            </w:pPr>
            <w:r w:rsidRPr="00E42A54">
              <w:rPr>
                <w:color w:val="000000"/>
                <w:szCs w:val="24"/>
              </w:rPr>
              <w:t>0.56</w:t>
            </w:r>
          </w:p>
        </w:tc>
        <w:tc>
          <w:tcPr>
            <w:tcW w:w="960" w:type="dxa"/>
            <w:tcBorders>
              <w:top w:val="nil"/>
              <w:left w:val="nil"/>
              <w:bottom w:val="nil"/>
              <w:right w:val="nil"/>
            </w:tcBorders>
            <w:shd w:val="clear" w:color="auto" w:fill="auto"/>
            <w:noWrap/>
            <w:vAlign w:val="center"/>
            <w:hideMark/>
          </w:tcPr>
          <w:p w14:paraId="6643B276" w14:textId="77777777" w:rsidR="00112EDC" w:rsidRPr="00E42A54" w:rsidRDefault="00112EDC" w:rsidP="008679FF">
            <w:pPr>
              <w:pStyle w:val="NoSpacing"/>
              <w:rPr>
                <w:color w:val="000000"/>
                <w:szCs w:val="24"/>
              </w:rPr>
            </w:pPr>
            <w:r w:rsidRPr="00E42A54">
              <w:rPr>
                <w:color w:val="000000"/>
                <w:szCs w:val="24"/>
              </w:rPr>
              <w:t>0.16</w:t>
            </w:r>
          </w:p>
        </w:tc>
        <w:tc>
          <w:tcPr>
            <w:tcW w:w="960" w:type="dxa"/>
            <w:tcBorders>
              <w:top w:val="nil"/>
              <w:left w:val="nil"/>
              <w:bottom w:val="nil"/>
              <w:right w:val="nil"/>
            </w:tcBorders>
            <w:shd w:val="clear" w:color="auto" w:fill="auto"/>
            <w:noWrap/>
            <w:vAlign w:val="center"/>
            <w:hideMark/>
          </w:tcPr>
          <w:p w14:paraId="4E224B35" w14:textId="77777777" w:rsidR="00112EDC" w:rsidRPr="00E42A54" w:rsidRDefault="00112EDC" w:rsidP="008679FF">
            <w:pPr>
              <w:pStyle w:val="NoSpacing"/>
              <w:rPr>
                <w:color w:val="000000"/>
                <w:szCs w:val="24"/>
              </w:rPr>
            </w:pPr>
            <w:r w:rsidRPr="00E42A54">
              <w:rPr>
                <w:color w:val="000000"/>
                <w:szCs w:val="24"/>
              </w:rPr>
              <w:t>2.52</w:t>
            </w:r>
          </w:p>
        </w:tc>
      </w:tr>
      <w:tr w:rsidR="00112EDC" w:rsidRPr="00112EDC" w14:paraId="16EBE826"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281A403C" w14:textId="77777777" w:rsidR="00112EDC" w:rsidRPr="00E42A54" w:rsidRDefault="00112EDC" w:rsidP="008679FF">
            <w:pPr>
              <w:pStyle w:val="NoSpacing"/>
              <w:rPr>
                <w:color w:val="000000"/>
                <w:szCs w:val="24"/>
              </w:rPr>
            </w:pPr>
            <w:r w:rsidRPr="00E42A54">
              <w:rPr>
                <w:color w:val="000000"/>
                <w:szCs w:val="24"/>
              </w:rPr>
              <w:t>2000</w:t>
            </w:r>
          </w:p>
        </w:tc>
        <w:tc>
          <w:tcPr>
            <w:tcW w:w="960" w:type="dxa"/>
            <w:tcBorders>
              <w:top w:val="nil"/>
              <w:left w:val="nil"/>
              <w:bottom w:val="nil"/>
              <w:right w:val="nil"/>
            </w:tcBorders>
            <w:shd w:val="clear" w:color="auto" w:fill="auto"/>
            <w:noWrap/>
            <w:vAlign w:val="center"/>
            <w:hideMark/>
          </w:tcPr>
          <w:p w14:paraId="121F1371"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nil"/>
              <w:left w:val="nil"/>
              <w:bottom w:val="nil"/>
              <w:right w:val="nil"/>
            </w:tcBorders>
            <w:shd w:val="clear" w:color="auto" w:fill="auto"/>
            <w:noWrap/>
            <w:vAlign w:val="center"/>
            <w:hideMark/>
          </w:tcPr>
          <w:p w14:paraId="4D39A121" w14:textId="77777777" w:rsidR="00112EDC" w:rsidRPr="00E42A54" w:rsidRDefault="00112EDC" w:rsidP="00127F44">
            <w:pPr>
              <w:pStyle w:val="NoSpacing"/>
              <w:tabs>
                <w:tab w:val="decimal" w:pos="354"/>
              </w:tabs>
              <w:rPr>
                <w:color w:val="000000"/>
                <w:szCs w:val="24"/>
              </w:rPr>
            </w:pPr>
            <w:r w:rsidRPr="00E42A54">
              <w:rPr>
                <w:color w:val="000000"/>
                <w:szCs w:val="24"/>
              </w:rPr>
              <w:t>5.01</w:t>
            </w:r>
          </w:p>
        </w:tc>
        <w:tc>
          <w:tcPr>
            <w:tcW w:w="848" w:type="dxa"/>
            <w:tcBorders>
              <w:top w:val="nil"/>
              <w:left w:val="nil"/>
              <w:bottom w:val="nil"/>
              <w:right w:val="nil"/>
            </w:tcBorders>
            <w:shd w:val="clear" w:color="auto" w:fill="auto"/>
            <w:noWrap/>
            <w:vAlign w:val="center"/>
            <w:hideMark/>
          </w:tcPr>
          <w:p w14:paraId="36E748FA" w14:textId="77777777" w:rsidR="00112EDC" w:rsidRPr="00E42A54" w:rsidRDefault="00112EDC" w:rsidP="008679FF">
            <w:pPr>
              <w:pStyle w:val="NoSpacing"/>
              <w:rPr>
                <w:color w:val="000000"/>
                <w:szCs w:val="24"/>
              </w:rPr>
            </w:pPr>
            <w:r w:rsidRPr="00E42A54">
              <w:rPr>
                <w:color w:val="000000"/>
                <w:szCs w:val="24"/>
              </w:rPr>
              <w:t>0.38</w:t>
            </w:r>
          </w:p>
        </w:tc>
        <w:tc>
          <w:tcPr>
            <w:tcW w:w="960" w:type="dxa"/>
            <w:tcBorders>
              <w:top w:val="nil"/>
              <w:left w:val="nil"/>
              <w:bottom w:val="nil"/>
              <w:right w:val="nil"/>
            </w:tcBorders>
            <w:shd w:val="clear" w:color="auto" w:fill="auto"/>
            <w:noWrap/>
            <w:vAlign w:val="center"/>
            <w:hideMark/>
          </w:tcPr>
          <w:p w14:paraId="61E77E6D" w14:textId="77777777" w:rsidR="00112EDC" w:rsidRPr="00E42A54" w:rsidRDefault="00112EDC" w:rsidP="008679FF">
            <w:pPr>
              <w:pStyle w:val="NoSpacing"/>
              <w:rPr>
                <w:color w:val="000000"/>
                <w:szCs w:val="24"/>
              </w:rPr>
            </w:pPr>
            <w:r w:rsidRPr="00E42A54">
              <w:rPr>
                <w:color w:val="000000"/>
                <w:szCs w:val="24"/>
              </w:rPr>
              <w:t>0.18</w:t>
            </w:r>
          </w:p>
        </w:tc>
        <w:tc>
          <w:tcPr>
            <w:tcW w:w="960" w:type="dxa"/>
            <w:tcBorders>
              <w:top w:val="nil"/>
              <w:left w:val="nil"/>
              <w:bottom w:val="nil"/>
              <w:right w:val="nil"/>
            </w:tcBorders>
            <w:shd w:val="clear" w:color="auto" w:fill="auto"/>
            <w:noWrap/>
            <w:vAlign w:val="center"/>
            <w:hideMark/>
          </w:tcPr>
          <w:p w14:paraId="08EA131D" w14:textId="77777777" w:rsidR="00112EDC" w:rsidRPr="00E42A54" w:rsidRDefault="00112EDC" w:rsidP="008679FF">
            <w:pPr>
              <w:pStyle w:val="NoSpacing"/>
              <w:rPr>
                <w:color w:val="000000"/>
                <w:szCs w:val="24"/>
              </w:rPr>
            </w:pPr>
            <w:r w:rsidRPr="00E42A54">
              <w:rPr>
                <w:color w:val="000000"/>
                <w:szCs w:val="24"/>
              </w:rPr>
              <w:t>2.39</w:t>
            </w:r>
          </w:p>
        </w:tc>
      </w:tr>
      <w:tr w:rsidR="00112EDC" w:rsidRPr="00112EDC" w14:paraId="07346802"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7335BE83" w14:textId="77777777" w:rsidR="00112EDC" w:rsidRPr="00E42A54" w:rsidRDefault="00112EDC" w:rsidP="008679FF">
            <w:pPr>
              <w:pStyle w:val="NoSpacing"/>
              <w:rPr>
                <w:color w:val="000000"/>
                <w:szCs w:val="24"/>
              </w:rPr>
            </w:pPr>
            <w:r w:rsidRPr="00E42A54">
              <w:rPr>
                <w:color w:val="000000"/>
                <w:szCs w:val="24"/>
              </w:rPr>
              <w:t>2000</w:t>
            </w:r>
          </w:p>
        </w:tc>
        <w:tc>
          <w:tcPr>
            <w:tcW w:w="960" w:type="dxa"/>
            <w:tcBorders>
              <w:top w:val="nil"/>
              <w:left w:val="nil"/>
              <w:bottom w:val="nil"/>
              <w:right w:val="nil"/>
            </w:tcBorders>
            <w:shd w:val="clear" w:color="auto" w:fill="auto"/>
            <w:noWrap/>
            <w:vAlign w:val="center"/>
            <w:hideMark/>
          </w:tcPr>
          <w:p w14:paraId="6FDA9715"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2FE2E542" w14:textId="77777777" w:rsidR="00112EDC" w:rsidRPr="00E42A54" w:rsidRDefault="00112EDC" w:rsidP="00127F44">
            <w:pPr>
              <w:pStyle w:val="NoSpacing"/>
              <w:tabs>
                <w:tab w:val="decimal" w:pos="354"/>
              </w:tabs>
              <w:rPr>
                <w:color w:val="000000"/>
                <w:szCs w:val="24"/>
              </w:rPr>
            </w:pPr>
            <w:r w:rsidRPr="00E42A54">
              <w:rPr>
                <w:color w:val="000000"/>
                <w:szCs w:val="24"/>
              </w:rPr>
              <w:t>6.14</w:t>
            </w:r>
          </w:p>
        </w:tc>
        <w:tc>
          <w:tcPr>
            <w:tcW w:w="848" w:type="dxa"/>
            <w:tcBorders>
              <w:top w:val="nil"/>
              <w:left w:val="nil"/>
              <w:bottom w:val="nil"/>
              <w:right w:val="nil"/>
            </w:tcBorders>
            <w:shd w:val="clear" w:color="auto" w:fill="auto"/>
            <w:noWrap/>
            <w:vAlign w:val="center"/>
            <w:hideMark/>
          </w:tcPr>
          <w:p w14:paraId="2E81ECB8" w14:textId="77777777" w:rsidR="00112EDC" w:rsidRPr="00E42A54" w:rsidRDefault="00112EDC" w:rsidP="008679FF">
            <w:pPr>
              <w:pStyle w:val="NoSpacing"/>
              <w:rPr>
                <w:color w:val="000000"/>
                <w:szCs w:val="24"/>
              </w:rPr>
            </w:pPr>
            <w:r w:rsidRPr="00E42A54">
              <w:rPr>
                <w:color w:val="000000"/>
                <w:szCs w:val="24"/>
              </w:rPr>
              <w:t>0.32</w:t>
            </w:r>
          </w:p>
        </w:tc>
        <w:tc>
          <w:tcPr>
            <w:tcW w:w="960" w:type="dxa"/>
            <w:tcBorders>
              <w:top w:val="nil"/>
              <w:left w:val="nil"/>
              <w:bottom w:val="nil"/>
              <w:right w:val="nil"/>
            </w:tcBorders>
            <w:shd w:val="clear" w:color="auto" w:fill="auto"/>
            <w:noWrap/>
            <w:vAlign w:val="center"/>
            <w:hideMark/>
          </w:tcPr>
          <w:p w14:paraId="49631D38" w14:textId="77777777" w:rsidR="00112EDC" w:rsidRPr="00E42A54" w:rsidRDefault="00112EDC" w:rsidP="008679FF">
            <w:pPr>
              <w:pStyle w:val="NoSpacing"/>
              <w:rPr>
                <w:color w:val="000000"/>
                <w:szCs w:val="24"/>
              </w:rPr>
            </w:pPr>
            <w:r w:rsidRPr="00E42A54">
              <w:rPr>
                <w:color w:val="000000"/>
                <w:szCs w:val="24"/>
              </w:rPr>
              <w:t>0.33</w:t>
            </w:r>
          </w:p>
        </w:tc>
        <w:tc>
          <w:tcPr>
            <w:tcW w:w="960" w:type="dxa"/>
            <w:tcBorders>
              <w:top w:val="nil"/>
              <w:left w:val="nil"/>
              <w:bottom w:val="nil"/>
              <w:right w:val="nil"/>
            </w:tcBorders>
            <w:shd w:val="clear" w:color="auto" w:fill="auto"/>
            <w:noWrap/>
            <w:vAlign w:val="center"/>
            <w:hideMark/>
          </w:tcPr>
          <w:p w14:paraId="7A64C708" w14:textId="77777777" w:rsidR="00112EDC" w:rsidRPr="00E42A54" w:rsidRDefault="00112EDC" w:rsidP="008679FF">
            <w:pPr>
              <w:pStyle w:val="NoSpacing"/>
              <w:rPr>
                <w:color w:val="000000"/>
                <w:szCs w:val="24"/>
              </w:rPr>
            </w:pPr>
            <w:r w:rsidRPr="00E42A54">
              <w:rPr>
                <w:color w:val="000000"/>
                <w:szCs w:val="24"/>
              </w:rPr>
              <w:t>1.57</w:t>
            </w:r>
          </w:p>
        </w:tc>
      </w:tr>
      <w:tr w:rsidR="00112EDC" w:rsidRPr="00112EDC" w14:paraId="15FE1E40"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0086D000" w14:textId="77777777" w:rsidR="00112EDC" w:rsidRPr="00E42A54" w:rsidRDefault="00112EDC" w:rsidP="008679FF">
            <w:pPr>
              <w:pStyle w:val="NoSpacing"/>
              <w:rPr>
                <w:color w:val="000000"/>
                <w:szCs w:val="24"/>
              </w:rPr>
            </w:pPr>
            <w:r w:rsidRPr="00E42A54">
              <w:rPr>
                <w:color w:val="000000"/>
                <w:szCs w:val="24"/>
              </w:rPr>
              <w:t>2000</w:t>
            </w:r>
          </w:p>
        </w:tc>
        <w:tc>
          <w:tcPr>
            <w:tcW w:w="960" w:type="dxa"/>
            <w:tcBorders>
              <w:top w:val="nil"/>
              <w:left w:val="nil"/>
              <w:bottom w:val="nil"/>
              <w:right w:val="nil"/>
            </w:tcBorders>
            <w:shd w:val="clear" w:color="auto" w:fill="auto"/>
            <w:noWrap/>
            <w:vAlign w:val="center"/>
            <w:hideMark/>
          </w:tcPr>
          <w:p w14:paraId="4EE6371D"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70DD2654" w14:textId="77777777" w:rsidR="00112EDC" w:rsidRPr="00E42A54" w:rsidRDefault="00112EDC" w:rsidP="00127F44">
            <w:pPr>
              <w:pStyle w:val="NoSpacing"/>
              <w:tabs>
                <w:tab w:val="decimal" w:pos="354"/>
              </w:tabs>
              <w:rPr>
                <w:color w:val="000000"/>
                <w:szCs w:val="24"/>
              </w:rPr>
            </w:pPr>
            <w:r w:rsidRPr="00E42A54">
              <w:rPr>
                <w:color w:val="000000"/>
                <w:szCs w:val="24"/>
              </w:rPr>
              <w:t>3.28</w:t>
            </w:r>
          </w:p>
        </w:tc>
        <w:tc>
          <w:tcPr>
            <w:tcW w:w="848" w:type="dxa"/>
            <w:tcBorders>
              <w:top w:val="nil"/>
              <w:left w:val="nil"/>
              <w:bottom w:val="nil"/>
              <w:right w:val="nil"/>
            </w:tcBorders>
            <w:shd w:val="clear" w:color="auto" w:fill="auto"/>
            <w:noWrap/>
            <w:vAlign w:val="center"/>
            <w:hideMark/>
          </w:tcPr>
          <w:p w14:paraId="6F14652A" w14:textId="77777777" w:rsidR="00112EDC" w:rsidRPr="00E42A54" w:rsidRDefault="00112EDC" w:rsidP="008679FF">
            <w:pPr>
              <w:pStyle w:val="NoSpacing"/>
              <w:rPr>
                <w:color w:val="000000"/>
                <w:szCs w:val="24"/>
              </w:rPr>
            </w:pPr>
            <w:r w:rsidRPr="00E42A54">
              <w:rPr>
                <w:color w:val="000000"/>
                <w:szCs w:val="24"/>
              </w:rPr>
              <w:t>0.50</w:t>
            </w:r>
          </w:p>
        </w:tc>
        <w:tc>
          <w:tcPr>
            <w:tcW w:w="960" w:type="dxa"/>
            <w:tcBorders>
              <w:top w:val="nil"/>
              <w:left w:val="nil"/>
              <w:bottom w:val="nil"/>
              <w:right w:val="nil"/>
            </w:tcBorders>
            <w:shd w:val="clear" w:color="auto" w:fill="auto"/>
            <w:noWrap/>
            <w:vAlign w:val="center"/>
            <w:hideMark/>
          </w:tcPr>
          <w:p w14:paraId="7C79F7D0" w14:textId="77777777" w:rsidR="00112EDC" w:rsidRPr="00E42A54" w:rsidRDefault="00112EDC" w:rsidP="008679FF">
            <w:pPr>
              <w:pStyle w:val="NoSpacing"/>
              <w:rPr>
                <w:color w:val="000000"/>
                <w:szCs w:val="24"/>
              </w:rPr>
            </w:pPr>
            <w:r w:rsidRPr="00E42A54">
              <w:rPr>
                <w:color w:val="000000"/>
                <w:szCs w:val="24"/>
              </w:rPr>
              <w:t>0.16</w:t>
            </w:r>
          </w:p>
        </w:tc>
        <w:tc>
          <w:tcPr>
            <w:tcW w:w="960" w:type="dxa"/>
            <w:tcBorders>
              <w:top w:val="nil"/>
              <w:left w:val="nil"/>
              <w:bottom w:val="nil"/>
              <w:right w:val="nil"/>
            </w:tcBorders>
            <w:shd w:val="clear" w:color="auto" w:fill="auto"/>
            <w:noWrap/>
            <w:vAlign w:val="center"/>
            <w:hideMark/>
          </w:tcPr>
          <w:p w14:paraId="6E24D4A1" w14:textId="77777777" w:rsidR="00112EDC" w:rsidRPr="00E42A54" w:rsidRDefault="00112EDC" w:rsidP="008679FF">
            <w:pPr>
              <w:pStyle w:val="NoSpacing"/>
              <w:rPr>
                <w:color w:val="000000"/>
                <w:szCs w:val="24"/>
              </w:rPr>
            </w:pPr>
            <w:r w:rsidRPr="00E42A54">
              <w:rPr>
                <w:color w:val="000000"/>
                <w:szCs w:val="24"/>
              </w:rPr>
              <w:t>2.53</w:t>
            </w:r>
          </w:p>
        </w:tc>
      </w:tr>
      <w:tr w:rsidR="00112EDC" w:rsidRPr="00112EDC" w14:paraId="0A6C77B2"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50DB372B" w14:textId="77777777" w:rsidR="00112EDC" w:rsidRPr="00E42A54" w:rsidRDefault="00112EDC" w:rsidP="008679FF">
            <w:pPr>
              <w:pStyle w:val="NoSpacing"/>
              <w:rPr>
                <w:color w:val="000000"/>
                <w:szCs w:val="24"/>
              </w:rPr>
            </w:pPr>
            <w:r w:rsidRPr="00E42A54">
              <w:rPr>
                <w:color w:val="000000"/>
                <w:szCs w:val="24"/>
              </w:rPr>
              <w:t>2000</w:t>
            </w:r>
          </w:p>
        </w:tc>
        <w:tc>
          <w:tcPr>
            <w:tcW w:w="960" w:type="dxa"/>
            <w:tcBorders>
              <w:top w:val="nil"/>
              <w:left w:val="nil"/>
              <w:bottom w:val="nil"/>
              <w:right w:val="nil"/>
            </w:tcBorders>
            <w:shd w:val="clear" w:color="auto" w:fill="auto"/>
            <w:noWrap/>
            <w:vAlign w:val="center"/>
            <w:hideMark/>
          </w:tcPr>
          <w:p w14:paraId="04E05620"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2D54B383" w14:textId="77777777" w:rsidR="00112EDC" w:rsidRPr="00E42A54" w:rsidRDefault="00112EDC" w:rsidP="00127F44">
            <w:pPr>
              <w:pStyle w:val="NoSpacing"/>
              <w:tabs>
                <w:tab w:val="decimal" w:pos="354"/>
              </w:tabs>
              <w:rPr>
                <w:color w:val="000000"/>
                <w:szCs w:val="24"/>
              </w:rPr>
            </w:pPr>
            <w:r w:rsidRPr="00E42A54">
              <w:rPr>
                <w:color w:val="000000"/>
                <w:szCs w:val="24"/>
              </w:rPr>
              <w:t>2.90</w:t>
            </w:r>
          </w:p>
        </w:tc>
        <w:tc>
          <w:tcPr>
            <w:tcW w:w="848" w:type="dxa"/>
            <w:tcBorders>
              <w:top w:val="nil"/>
              <w:left w:val="nil"/>
              <w:bottom w:val="nil"/>
              <w:right w:val="nil"/>
            </w:tcBorders>
            <w:shd w:val="clear" w:color="auto" w:fill="auto"/>
            <w:noWrap/>
            <w:vAlign w:val="center"/>
            <w:hideMark/>
          </w:tcPr>
          <w:p w14:paraId="257770AC" w14:textId="77777777" w:rsidR="00112EDC" w:rsidRPr="00E42A54" w:rsidRDefault="00112EDC" w:rsidP="008679FF">
            <w:pPr>
              <w:pStyle w:val="NoSpacing"/>
              <w:rPr>
                <w:color w:val="000000"/>
                <w:szCs w:val="24"/>
              </w:rPr>
            </w:pPr>
            <w:r w:rsidRPr="00E42A54">
              <w:rPr>
                <w:color w:val="000000"/>
                <w:szCs w:val="24"/>
              </w:rPr>
              <w:t>0.53</w:t>
            </w:r>
          </w:p>
        </w:tc>
        <w:tc>
          <w:tcPr>
            <w:tcW w:w="960" w:type="dxa"/>
            <w:tcBorders>
              <w:top w:val="nil"/>
              <w:left w:val="nil"/>
              <w:bottom w:val="nil"/>
              <w:right w:val="nil"/>
            </w:tcBorders>
            <w:shd w:val="clear" w:color="auto" w:fill="auto"/>
            <w:noWrap/>
            <w:vAlign w:val="center"/>
            <w:hideMark/>
          </w:tcPr>
          <w:p w14:paraId="722A4648" w14:textId="77777777" w:rsidR="00112EDC" w:rsidRPr="00E42A54" w:rsidRDefault="00112EDC" w:rsidP="008679FF">
            <w:pPr>
              <w:pStyle w:val="NoSpacing"/>
              <w:rPr>
                <w:color w:val="000000"/>
                <w:szCs w:val="24"/>
              </w:rPr>
            </w:pPr>
            <w:r w:rsidRPr="00E42A54">
              <w:rPr>
                <w:color w:val="000000"/>
                <w:szCs w:val="24"/>
              </w:rPr>
              <w:t>0.14</w:t>
            </w:r>
          </w:p>
        </w:tc>
        <w:tc>
          <w:tcPr>
            <w:tcW w:w="960" w:type="dxa"/>
            <w:tcBorders>
              <w:top w:val="nil"/>
              <w:left w:val="nil"/>
              <w:bottom w:val="nil"/>
              <w:right w:val="nil"/>
            </w:tcBorders>
            <w:shd w:val="clear" w:color="auto" w:fill="auto"/>
            <w:noWrap/>
            <w:vAlign w:val="center"/>
            <w:hideMark/>
          </w:tcPr>
          <w:p w14:paraId="5AD72327" w14:textId="77777777" w:rsidR="00112EDC" w:rsidRPr="00E42A54" w:rsidRDefault="00112EDC" w:rsidP="008679FF">
            <w:pPr>
              <w:pStyle w:val="NoSpacing"/>
              <w:rPr>
                <w:color w:val="000000"/>
                <w:szCs w:val="24"/>
              </w:rPr>
            </w:pPr>
            <w:r w:rsidRPr="00E42A54">
              <w:rPr>
                <w:color w:val="000000"/>
                <w:szCs w:val="24"/>
              </w:rPr>
              <w:t>2.72</w:t>
            </w:r>
          </w:p>
        </w:tc>
      </w:tr>
      <w:tr w:rsidR="00112EDC" w:rsidRPr="00112EDC" w14:paraId="7ADDA4DD"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7E38AA0C" w14:textId="77777777" w:rsidR="00112EDC" w:rsidRPr="00E42A54" w:rsidRDefault="00112EDC" w:rsidP="008679FF">
            <w:pPr>
              <w:pStyle w:val="NoSpacing"/>
              <w:rPr>
                <w:color w:val="000000"/>
                <w:szCs w:val="24"/>
              </w:rPr>
            </w:pPr>
            <w:r w:rsidRPr="00E42A54">
              <w:rPr>
                <w:color w:val="000000"/>
                <w:szCs w:val="24"/>
              </w:rPr>
              <w:t>2001</w:t>
            </w:r>
          </w:p>
        </w:tc>
        <w:tc>
          <w:tcPr>
            <w:tcW w:w="960" w:type="dxa"/>
            <w:tcBorders>
              <w:top w:val="nil"/>
              <w:left w:val="nil"/>
              <w:bottom w:val="nil"/>
              <w:right w:val="nil"/>
            </w:tcBorders>
            <w:shd w:val="clear" w:color="auto" w:fill="auto"/>
            <w:noWrap/>
            <w:vAlign w:val="center"/>
            <w:hideMark/>
          </w:tcPr>
          <w:p w14:paraId="5EE08C03"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nil"/>
              <w:left w:val="nil"/>
              <w:bottom w:val="nil"/>
              <w:right w:val="nil"/>
            </w:tcBorders>
            <w:shd w:val="clear" w:color="auto" w:fill="auto"/>
            <w:noWrap/>
            <w:vAlign w:val="center"/>
            <w:hideMark/>
          </w:tcPr>
          <w:p w14:paraId="67684074" w14:textId="77777777" w:rsidR="00112EDC" w:rsidRPr="00E42A54" w:rsidRDefault="00112EDC" w:rsidP="00127F44">
            <w:pPr>
              <w:pStyle w:val="NoSpacing"/>
              <w:tabs>
                <w:tab w:val="decimal" w:pos="354"/>
              </w:tabs>
              <w:rPr>
                <w:color w:val="000000"/>
                <w:szCs w:val="24"/>
              </w:rPr>
            </w:pPr>
            <w:r w:rsidRPr="00E42A54">
              <w:rPr>
                <w:color w:val="000000"/>
                <w:szCs w:val="24"/>
              </w:rPr>
              <w:t>-</w:t>
            </w:r>
          </w:p>
        </w:tc>
        <w:tc>
          <w:tcPr>
            <w:tcW w:w="848" w:type="dxa"/>
            <w:tcBorders>
              <w:top w:val="nil"/>
              <w:left w:val="nil"/>
              <w:bottom w:val="nil"/>
              <w:right w:val="nil"/>
            </w:tcBorders>
            <w:shd w:val="clear" w:color="auto" w:fill="auto"/>
            <w:noWrap/>
            <w:vAlign w:val="center"/>
            <w:hideMark/>
          </w:tcPr>
          <w:p w14:paraId="257D9B87" w14:textId="77777777" w:rsidR="00112EDC" w:rsidRPr="00E42A54" w:rsidRDefault="00112EDC" w:rsidP="008679FF">
            <w:pPr>
              <w:pStyle w:val="NoSpacing"/>
              <w:rPr>
                <w:color w:val="000000"/>
                <w:szCs w:val="24"/>
              </w:rPr>
            </w:pPr>
            <w:r w:rsidRPr="00E42A54">
              <w:rPr>
                <w:color w:val="000000"/>
                <w:szCs w:val="24"/>
              </w:rPr>
              <w:t>-</w:t>
            </w:r>
          </w:p>
        </w:tc>
        <w:tc>
          <w:tcPr>
            <w:tcW w:w="960" w:type="dxa"/>
            <w:tcBorders>
              <w:top w:val="nil"/>
              <w:left w:val="nil"/>
              <w:bottom w:val="nil"/>
              <w:right w:val="nil"/>
            </w:tcBorders>
            <w:shd w:val="clear" w:color="auto" w:fill="auto"/>
            <w:noWrap/>
            <w:vAlign w:val="center"/>
            <w:hideMark/>
          </w:tcPr>
          <w:p w14:paraId="5EC44768" w14:textId="77777777" w:rsidR="00112EDC" w:rsidRPr="00E42A54" w:rsidRDefault="00112EDC" w:rsidP="008679FF">
            <w:pPr>
              <w:pStyle w:val="NoSpacing"/>
              <w:rPr>
                <w:color w:val="000000"/>
                <w:szCs w:val="24"/>
              </w:rPr>
            </w:pPr>
            <w:r w:rsidRPr="00E42A54">
              <w:rPr>
                <w:color w:val="000000"/>
                <w:szCs w:val="24"/>
              </w:rPr>
              <w:t>0.17</w:t>
            </w:r>
          </w:p>
        </w:tc>
        <w:tc>
          <w:tcPr>
            <w:tcW w:w="960" w:type="dxa"/>
            <w:tcBorders>
              <w:top w:val="nil"/>
              <w:left w:val="nil"/>
              <w:bottom w:val="nil"/>
              <w:right w:val="nil"/>
            </w:tcBorders>
            <w:shd w:val="clear" w:color="auto" w:fill="auto"/>
            <w:noWrap/>
            <w:vAlign w:val="center"/>
            <w:hideMark/>
          </w:tcPr>
          <w:p w14:paraId="2AF457EB" w14:textId="77777777" w:rsidR="00112EDC" w:rsidRPr="00E42A54" w:rsidRDefault="00112EDC" w:rsidP="008679FF">
            <w:pPr>
              <w:pStyle w:val="NoSpacing"/>
              <w:rPr>
                <w:color w:val="000000"/>
                <w:szCs w:val="24"/>
              </w:rPr>
            </w:pPr>
            <w:r w:rsidRPr="00E42A54">
              <w:rPr>
                <w:color w:val="000000"/>
                <w:szCs w:val="24"/>
              </w:rPr>
              <w:t>2.45</w:t>
            </w:r>
          </w:p>
        </w:tc>
      </w:tr>
      <w:tr w:rsidR="00112EDC" w:rsidRPr="00112EDC" w14:paraId="5B43C572"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240AB1F7" w14:textId="77777777" w:rsidR="00112EDC" w:rsidRPr="00E42A54" w:rsidRDefault="00112EDC" w:rsidP="008679FF">
            <w:pPr>
              <w:pStyle w:val="NoSpacing"/>
              <w:rPr>
                <w:color w:val="000000"/>
                <w:szCs w:val="24"/>
              </w:rPr>
            </w:pPr>
            <w:r w:rsidRPr="00E42A54">
              <w:rPr>
                <w:color w:val="000000"/>
                <w:szCs w:val="24"/>
              </w:rPr>
              <w:t>2001</w:t>
            </w:r>
          </w:p>
        </w:tc>
        <w:tc>
          <w:tcPr>
            <w:tcW w:w="960" w:type="dxa"/>
            <w:tcBorders>
              <w:top w:val="nil"/>
              <w:left w:val="nil"/>
              <w:bottom w:val="nil"/>
              <w:right w:val="nil"/>
            </w:tcBorders>
            <w:shd w:val="clear" w:color="auto" w:fill="auto"/>
            <w:noWrap/>
            <w:vAlign w:val="center"/>
            <w:hideMark/>
          </w:tcPr>
          <w:p w14:paraId="495A17FD"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205714C9" w14:textId="77777777" w:rsidR="00112EDC" w:rsidRPr="00E42A54" w:rsidRDefault="00112EDC" w:rsidP="00127F44">
            <w:pPr>
              <w:pStyle w:val="NoSpacing"/>
              <w:tabs>
                <w:tab w:val="decimal" w:pos="354"/>
              </w:tabs>
              <w:rPr>
                <w:color w:val="000000"/>
                <w:szCs w:val="24"/>
              </w:rPr>
            </w:pPr>
            <w:r w:rsidRPr="00E42A54">
              <w:rPr>
                <w:color w:val="000000"/>
                <w:szCs w:val="24"/>
              </w:rPr>
              <w:t>-</w:t>
            </w:r>
          </w:p>
        </w:tc>
        <w:tc>
          <w:tcPr>
            <w:tcW w:w="848" w:type="dxa"/>
            <w:tcBorders>
              <w:top w:val="nil"/>
              <w:left w:val="nil"/>
              <w:bottom w:val="nil"/>
              <w:right w:val="nil"/>
            </w:tcBorders>
            <w:shd w:val="clear" w:color="auto" w:fill="auto"/>
            <w:noWrap/>
            <w:vAlign w:val="center"/>
            <w:hideMark/>
          </w:tcPr>
          <w:p w14:paraId="47C52E9F" w14:textId="77777777" w:rsidR="00112EDC" w:rsidRPr="00E42A54" w:rsidRDefault="00112EDC" w:rsidP="008679FF">
            <w:pPr>
              <w:pStyle w:val="NoSpacing"/>
              <w:rPr>
                <w:color w:val="000000"/>
                <w:szCs w:val="24"/>
              </w:rPr>
            </w:pPr>
            <w:r w:rsidRPr="00E42A54">
              <w:rPr>
                <w:color w:val="000000"/>
                <w:szCs w:val="24"/>
              </w:rPr>
              <w:t>-</w:t>
            </w:r>
          </w:p>
        </w:tc>
        <w:tc>
          <w:tcPr>
            <w:tcW w:w="960" w:type="dxa"/>
            <w:tcBorders>
              <w:top w:val="nil"/>
              <w:left w:val="nil"/>
              <w:bottom w:val="nil"/>
              <w:right w:val="nil"/>
            </w:tcBorders>
            <w:shd w:val="clear" w:color="auto" w:fill="auto"/>
            <w:noWrap/>
            <w:vAlign w:val="center"/>
            <w:hideMark/>
          </w:tcPr>
          <w:p w14:paraId="729A6E2A" w14:textId="77777777" w:rsidR="00112EDC" w:rsidRPr="00E42A54" w:rsidRDefault="00112EDC" w:rsidP="008679FF">
            <w:pPr>
              <w:pStyle w:val="NoSpacing"/>
              <w:rPr>
                <w:color w:val="000000"/>
                <w:szCs w:val="24"/>
              </w:rPr>
            </w:pPr>
            <w:r w:rsidRPr="00E42A54">
              <w:rPr>
                <w:color w:val="000000"/>
                <w:szCs w:val="24"/>
              </w:rPr>
              <w:t>0.32</w:t>
            </w:r>
          </w:p>
        </w:tc>
        <w:tc>
          <w:tcPr>
            <w:tcW w:w="960" w:type="dxa"/>
            <w:tcBorders>
              <w:top w:val="nil"/>
              <w:left w:val="nil"/>
              <w:bottom w:val="nil"/>
              <w:right w:val="nil"/>
            </w:tcBorders>
            <w:shd w:val="clear" w:color="auto" w:fill="auto"/>
            <w:noWrap/>
            <w:vAlign w:val="center"/>
            <w:hideMark/>
          </w:tcPr>
          <w:p w14:paraId="29812A62" w14:textId="77777777" w:rsidR="00112EDC" w:rsidRPr="00E42A54" w:rsidRDefault="00112EDC" w:rsidP="008679FF">
            <w:pPr>
              <w:pStyle w:val="NoSpacing"/>
              <w:rPr>
                <w:color w:val="000000"/>
                <w:szCs w:val="24"/>
              </w:rPr>
            </w:pPr>
            <w:r w:rsidRPr="00E42A54">
              <w:rPr>
                <w:color w:val="000000"/>
                <w:szCs w:val="24"/>
              </w:rPr>
              <w:t>1.61</w:t>
            </w:r>
          </w:p>
        </w:tc>
      </w:tr>
      <w:tr w:rsidR="00112EDC" w:rsidRPr="00112EDC" w14:paraId="1EE1B2E8"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51FA8A11" w14:textId="77777777" w:rsidR="00112EDC" w:rsidRPr="00E42A54" w:rsidRDefault="00112EDC" w:rsidP="008679FF">
            <w:pPr>
              <w:pStyle w:val="NoSpacing"/>
              <w:rPr>
                <w:color w:val="000000"/>
                <w:szCs w:val="24"/>
              </w:rPr>
            </w:pPr>
            <w:r w:rsidRPr="00E42A54">
              <w:rPr>
                <w:color w:val="000000"/>
                <w:szCs w:val="24"/>
              </w:rPr>
              <w:t>2001</w:t>
            </w:r>
          </w:p>
        </w:tc>
        <w:tc>
          <w:tcPr>
            <w:tcW w:w="960" w:type="dxa"/>
            <w:tcBorders>
              <w:top w:val="nil"/>
              <w:left w:val="nil"/>
              <w:bottom w:val="nil"/>
              <w:right w:val="nil"/>
            </w:tcBorders>
            <w:shd w:val="clear" w:color="auto" w:fill="auto"/>
            <w:noWrap/>
            <w:vAlign w:val="center"/>
            <w:hideMark/>
          </w:tcPr>
          <w:p w14:paraId="138F9E59"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07BA6C97" w14:textId="77777777" w:rsidR="00112EDC" w:rsidRPr="00E42A54" w:rsidRDefault="00112EDC" w:rsidP="00127F44">
            <w:pPr>
              <w:pStyle w:val="NoSpacing"/>
              <w:tabs>
                <w:tab w:val="decimal" w:pos="354"/>
              </w:tabs>
              <w:rPr>
                <w:color w:val="000000"/>
                <w:szCs w:val="24"/>
              </w:rPr>
            </w:pPr>
            <w:r w:rsidRPr="00E42A54">
              <w:rPr>
                <w:color w:val="000000"/>
                <w:szCs w:val="24"/>
              </w:rPr>
              <w:t>-</w:t>
            </w:r>
          </w:p>
        </w:tc>
        <w:tc>
          <w:tcPr>
            <w:tcW w:w="848" w:type="dxa"/>
            <w:tcBorders>
              <w:top w:val="nil"/>
              <w:left w:val="nil"/>
              <w:bottom w:val="nil"/>
              <w:right w:val="nil"/>
            </w:tcBorders>
            <w:shd w:val="clear" w:color="auto" w:fill="auto"/>
            <w:noWrap/>
            <w:vAlign w:val="center"/>
            <w:hideMark/>
          </w:tcPr>
          <w:p w14:paraId="15E48F6F" w14:textId="77777777" w:rsidR="00112EDC" w:rsidRPr="00E42A54" w:rsidRDefault="00112EDC" w:rsidP="008679FF">
            <w:pPr>
              <w:pStyle w:val="NoSpacing"/>
              <w:rPr>
                <w:color w:val="000000"/>
                <w:szCs w:val="24"/>
              </w:rPr>
            </w:pPr>
            <w:r w:rsidRPr="00E42A54">
              <w:rPr>
                <w:color w:val="000000"/>
                <w:szCs w:val="24"/>
              </w:rPr>
              <w:t>-</w:t>
            </w:r>
          </w:p>
        </w:tc>
        <w:tc>
          <w:tcPr>
            <w:tcW w:w="960" w:type="dxa"/>
            <w:tcBorders>
              <w:top w:val="nil"/>
              <w:left w:val="nil"/>
              <w:bottom w:val="nil"/>
              <w:right w:val="nil"/>
            </w:tcBorders>
            <w:shd w:val="clear" w:color="auto" w:fill="auto"/>
            <w:noWrap/>
            <w:vAlign w:val="center"/>
            <w:hideMark/>
          </w:tcPr>
          <w:p w14:paraId="7C5F6019" w14:textId="77777777" w:rsidR="00112EDC" w:rsidRPr="00E42A54" w:rsidRDefault="00112EDC" w:rsidP="008679FF">
            <w:pPr>
              <w:pStyle w:val="NoSpacing"/>
              <w:rPr>
                <w:color w:val="000000"/>
                <w:szCs w:val="24"/>
              </w:rPr>
            </w:pPr>
            <w:r w:rsidRPr="00E42A54">
              <w:rPr>
                <w:color w:val="000000"/>
                <w:szCs w:val="24"/>
              </w:rPr>
              <w:t>0.16</w:t>
            </w:r>
          </w:p>
        </w:tc>
        <w:tc>
          <w:tcPr>
            <w:tcW w:w="960" w:type="dxa"/>
            <w:tcBorders>
              <w:top w:val="nil"/>
              <w:left w:val="nil"/>
              <w:bottom w:val="nil"/>
              <w:right w:val="nil"/>
            </w:tcBorders>
            <w:shd w:val="clear" w:color="auto" w:fill="auto"/>
            <w:noWrap/>
            <w:vAlign w:val="center"/>
            <w:hideMark/>
          </w:tcPr>
          <w:p w14:paraId="71F6A9EC" w14:textId="77777777" w:rsidR="00112EDC" w:rsidRPr="00E42A54" w:rsidRDefault="00112EDC" w:rsidP="008679FF">
            <w:pPr>
              <w:pStyle w:val="NoSpacing"/>
              <w:rPr>
                <w:color w:val="000000"/>
                <w:szCs w:val="24"/>
              </w:rPr>
            </w:pPr>
            <w:r w:rsidRPr="00E42A54">
              <w:rPr>
                <w:color w:val="000000"/>
                <w:szCs w:val="24"/>
              </w:rPr>
              <w:t>2.59</w:t>
            </w:r>
          </w:p>
        </w:tc>
      </w:tr>
      <w:tr w:rsidR="00112EDC" w:rsidRPr="00112EDC" w14:paraId="319A4D93"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53991E9C" w14:textId="77777777" w:rsidR="00112EDC" w:rsidRPr="00E42A54" w:rsidRDefault="00112EDC" w:rsidP="008679FF">
            <w:pPr>
              <w:pStyle w:val="NoSpacing"/>
              <w:rPr>
                <w:color w:val="000000"/>
                <w:szCs w:val="24"/>
              </w:rPr>
            </w:pPr>
            <w:r w:rsidRPr="00E42A54">
              <w:rPr>
                <w:color w:val="000000"/>
                <w:szCs w:val="24"/>
              </w:rPr>
              <w:t>2001</w:t>
            </w:r>
          </w:p>
        </w:tc>
        <w:tc>
          <w:tcPr>
            <w:tcW w:w="960" w:type="dxa"/>
            <w:tcBorders>
              <w:top w:val="nil"/>
              <w:left w:val="nil"/>
              <w:bottom w:val="nil"/>
              <w:right w:val="nil"/>
            </w:tcBorders>
            <w:shd w:val="clear" w:color="auto" w:fill="auto"/>
            <w:noWrap/>
            <w:vAlign w:val="center"/>
            <w:hideMark/>
          </w:tcPr>
          <w:p w14:paraId="34382695"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692CE8C9" w14:textId="77777777" w:rsidR="00112EDC" w:rsidRPr="00E42A54" w:rsidRDefault="00112EDC" w:rsidP="00127F44">
            <w:pPr>
              <w:pStyle w:val="NoSpacing"/>
              <w:tabs>
                <w:tab w:val="decimal" w:pos="354"/>
              </w:tabs>
              <w:rPr>
                <w:color w:val="000000"/>
                <w:szCs w:val="24"/>
              </w:rPr>
            </w:pPr>
            <w:r w:rsidRPr="00E42A54">
              <w:rPr>
                <w:color w:val="000000"/>
                <w:szCs w:val="24"/>
              </w:rPr>
              <w:t>-</w:t>
            </w:r>
          </w:p>
        </w:tc>
        <w:tc>
          <w:tcPr>
            <w:tcW w:w="848" w:type="dxa"/>
            <w:tcBorders>
              <w:top w:val="nil"/>
              <w:left w:val="nil"/>
              <w:bottom w:val="nil"/>
              <w:right w:val="nil"/>
            </w:tcBorders>
            <w:shd w:val="clear" w:color="auto" w:fill="auto"/>
            <w:noWrap/>
            <w:vAlign w:val="center"/>
            <w:hideMark/>
          </w:tcPr>
          <w:p w14:paraId="7AEB4BDF" w14:textId="77777777" w:rsidR="00112EDC" w:rsidRPr="00E42A54" w:rsidRDefault="00112EDC" w:rsidP="008679FF">
            <w:pPr>
              <w:pStyle w:val="NoSpacing"/>
              <w:rPr>
                <w:color w:val="000000"/>
                <w:szCs w:val="24"/>
              </w:rPr>
            </w:pPr>
            <w:r w:rsidRPr="00E42A54">
              <w:rPr>
                <w:color w:val="000000"/>
                <w:szCs w:val="24"/>
              </w:rPr>
              <w:t>-</w:t>
            </w:r>
          </w:p>
        </w:tc>
        <w:tc>
          <w:tcPr>
            <w:tcW w:w="960" w:type="dxa"/>
            <w:tcBorders>
              <w:top w:val="nil"/>
              <w:left w:val="nil"/>
              <w:bottom w:val="nil"/>
              <w:right w:val="nil"/>
            </w:tcBorders>
            <w:shd w:val="clear" w:color="auto" w:fill="auto"/>
            <w:noWrap/>
            <w:vAlign w:val="center"/>
            <w:hideMark/>
          </w:tcPr>
          <w:p w14:paraId="2FCA9696" w14:textId="77777777" w:rsidR="00112EDC" w:rsidRPr="00E42A54" w:rsidRDefault="00112EDC" w:rsidP="008679FF">
            <w:pPr>
              <w:pStyle w:val="NoSpacing"/>
              <w:rPr>
                <w:color w:val="000000"/>
                <w:szCs w:val="24"/>
              </w:rPr>
            </w:pPr>
            <w:r w:rsidRPr="00E42A54">
              <w:rPr>
                <w:color w:val="000000"/>
                <w:szCs w:val="24"/>
              </w:rPr>
              <w:t>0.14</w:t>
            </w:r>
          </w:p>
        </w:tc>
        <w:tc>
          <w:tcPr>
            <w:tcW w:w="960" w:type="dxa"/>
            <w:tcBorders>
              <w:top w:val="nil"/>
              <w:left w:val="nil"/>
              <w:bottom w:val="nil"/>
              <w:right w:val="nil"/>
            </w:tcBorders>
            <w:shd w:val="clear" w:color="auto" w:fill="auto"/>
            <w:noWrap/>
            <w:vAlign w:val="center"/>
            <w:hideMark/>
          </w:tcPr>
          <w:p w14:paraId="09FFB39D" w14:textId="77777777" w:rsidR="00112EDC" w:rsidRPr="00E42A54" w:rsidRDefault="00112EDC" w:rsidP="008679FF">
            <w:pPr>
              <w:pStyle w:val="NoSpacing"/>
              <w:rPr>
                <w:color w:val="000000"/>
                <w:szCs w:val="24"/>
              </w:rPr>
            </w:pPr>
            <w:r w:rsidRPr="00E42A54">
              <w:rPr>
                <w:color w:val="000000"/>
                <w:szCs w:val="24"/>
              </w:rPr>
              <w:t>2.79</w:t>
            </w:r>
          </w:p>
        </w:tc>
      </w:tr>
      <w:tr w:rsidR="00112EDC" w:rsidRPr="00112EDC" w14:paraId="7A770AF9"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079EDB72" w14:textId="77777777" w:rsidR="00112EDC" w:rsidRPr="00E42A54" w:rsidRDefault="00112EDC" w:rsidP="008679FF">
            <w:pPr>
              <w:pStyle w:val="NoSpacing"/>
              <w:rPr>
                <w:color w:val="000000"/>
                <w:szCs w:val="24"/>
              </w:rPr>
            </w:pPr>
            <w:r w:rsidRPr="00E42A54">
              <w:rPr>
                <w:color w:val="000000"/>
                <w:szCs w:val="24"/>
              </w:rPr>
              <w:t>2002</w:t>
            </w:r>
          </w:p>
        </w:tc>
        <w:tc>
          <w:tcPr>
            <w:tcW w:w="960" w:type="dxa"/>
            <w:tcBorders>
              <w:top w:val="nil"/>
              <w:left w:val="nil"/>
              <w:bottom w:val="nil"/>
              <w:right w:val="nil"/>
            </w:tcBorders>
            <w:shd w:val="clear" w:color="auto" w:fill="auto"/>
            <w:noWrap/>
            <w:vAlign w:val="center"/>
            <w:hideMark/>
          </w:tcPr>
          <w:p w14:paraId="74554C20"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nil"/>
              <w:left w:val="nil"/>
              <w:bottom w:val="nil"/>
              <w:right w:val="nil"/>
            </w:tcBorders>
            <w:shd w:val="clear" w:color="auto" w:fill="auto"/>
            <w:noWrap/>
            <w:vAlign w:val="center"/>
            <w:hideMark/>
          </w:tcPr>
          <w:p w14:paraId="07564BCF" w14:textId="77777777" w:rsidR="00112EDC" w:rsidRPr="00E42A54" w:rsidRDefault="00112EDC" w:rsidP="00127F44">
            <w:pPr>
              <w:pStyle w:val="NoSpacing"/>
              <w:tabs>
                <w:tab w:val="decimal" w:pos="354"/>
              </w:tabs>
              <w:rPr>
                <w:color w:val="000000"/>
                <w:szCs w:val="24"/>
              </w:rPr>
            </w:pPr>
            <w:r w:rsidRPr="00E42A54">
              <w:rPr>
                <w:color w:val="000000"/>
                <w:szCs w:val="24"/>
              </w:rPr>
              <w:t>-</w:t>
            </w:r>
          </w:p>
        </w:tc>
        <w:tc>
          <w:tcPr>
            <w:tcW w:w="848" w:type="dxa"/>
            <w:tcBorders>
              <w:top w:val="nil"/>
              <w:left w:val="nil"/>
              <w:bottom w:val="nil"/>
              <w:right w:val="nil"/>
            </w:tcBorders>
            <w:shd w:val="clear" w:color="auto" w:fill="auto"/>
            <w:noWrap/>
            <w:vAlign w:val="center"/>
            <w:hideMark/>
          </w:tcPr>
          <w:p w14:paraId="14A6F222" w14:textId="77777777" w:rsidR="00112EDC" w:rsidRPr="00E42A54" w:rsidRDefault="00112EDC" w:rsidP="008679FF">
            <w:pPr>
              <w:pStyle w:val="NoSpacing"/>
              <w:rPr>
                <w:color w:val="000000"/>
                <w:szCs w:val="24"/>
              </w:rPr>
            </w:pPr>
            <w:r w:rsidRPr="00E42A54">
              <w:rPr>
                <w:color w:val="000000"/>
                <w:szCs w:val="24"/>
              </w:rPr>
              <w:t>-</w:t>
            </w:r>
          </w:p>
        </w:tc>
        <w:tc>
          <w:tcPr>
            <w:tcW w:w="960" w:type="dxa"/>
            <w:tcBorders>
              <w:top w:val="nil"/>
              <w:left w:val="nil"/>
              <w:bottom w:val="nil"/>
              <w:right w:val="nil"/>
            </w:tcBorders>
            <w:shd w:val="clear" w:color="auto" w:fill="auto"/>
            <w:noWrap/>
            <w:vAlign w:val="center"/>
            <w:hideMark/>
          </w:tcPr>
          <w:p w14:paraId="63A3C316" w14:textId="77777777" w:rsidR="00112EDC" w:rsidRPr="00E42A54" w:rsidRDefault="00112EDC" w:rsidP="008679FF">
            <w:pPr>
              <w:pStyle w:val="NoSpacing"/>
              <w:rPr>
                <w:color w:val="000000"/>
                <w:szCs w:val="24"/>
              </w:rPr>
            </w:pPr>
            <w:r w:rsidRPr="00E42A54">
              <w:rPr>
                <w:color w:val="000000"/>
                <w:szCs w:val="24"/>
              </w:rPr>
              <w:t>0.22</w:t>
            </w:r>
          </w:p>
        </w:tc>
        <w:tc>
          <w:tcPr>
            <w:tcW w:w="960" w:type="dxa"/>
            <w:tcBorders>
              <w:top w:val="nil"/>
              <w:left w:val="nil"/>
              <w:bottom w:val="nil"/>
              <w:right w:val="nil"/>
            </w:tcBorders>
            <w:shd w:val="clear" w:color="auto" w:fill="auto"/>
            <w:noWrap/>
            <w:vAlign w:val="center"/>
            <w:hideMark/>
          </w:tcPr>
          <w:p w14:paraId="1C8020CD" w14:textId="77777777" w:rsidR="00112EDC" w:rsidRPr="00E42A54" w:rsidRDefault="00112EDC" w:rsidP="008679FF">
            <w:pPr>
              <w:pStyle w:val="NoSpacing"/>
              <w:rPr>
                <w:color w:val="000000"/>
                <w:szCs w:val="24"/>
              </w:rPr>
            </w:pPr>
            <w:r w:rsidRPr="00E42A54">
              <w:rPr>
                <w:color w:val="000000"/>
                <w:szCs w:val="24"/>
              </w:rPr>
              <w:t>2.06</w:t>
            </w:r>
          </w:p>
        </w:tc>
      </w:tr>
      <w:tr w:rsidR="00112EDC" w:rsidRPr="00112EDC" w14:paraId="7F7EA03E"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43ECDCA1" w14:textId="77777777" w:rsidR="00112EDC" w:rsidRPr="00E42A54" w:rsidRDefault="00112EDC" w:rsidP="008679FF">
            <w:pPr>
              <w:pStyle w:val="NoSpacing"/>
              <w:rPr>
                <w:color w:val="000000"/>
                <w:szCs w:val="24"/>
              </w:rPr>
            </w:pPr>
            <w:r w:rsidRPr="00E42A54">
              <w:rPr>
                <w:color w:val="000000"/>
                <w:szCs w:val="24"/>
              </w:rPr>
              <w:t>2002</w:t>
            </w:r>
          </w:p>
        </w:tc>
        <w:tc>
          <w:tcPr>
            <w:tcW w:w="960" w:type="dxa"/>
            <w:tcBorders>
              <w:top w:val="nil"/>
              <w:left w:val="nil"/>
              <w:bottom w:val="nil"/>
              <w:right w:val="nil"/>
            </w:tcBorders>
            <w:shd w:val="clear" w:color="auto" w:fill="auto"/>
            <w:noWrap/>
            <w:vAlign w:val="center"/>
            <w:hideMark/>
          </w:tcPr>
          <w:p w14:paraId="70D8F529"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4E421C95" w14:textId="77777777" w:rsidR="00112EDC" w:rsidRPr="00E42A54" w:rsidRDefault="00112EDC" w:rsidP="00127F44">
            <w:pPr>
              <w:pStyle w:val="NoSpacing"/>
              <w:tabs>
                <w:tab w:val="decimal" w:pos="354"/>
              </w:tabs>
              <w:rPr>
                <w:color w:val="000000"/>
                <w:szCs w:val="24"/>
              </w:rPr>
            </w:pPr>
            <w:r w:rsidRPr="00E42A54">
              <w:rPr>
                <w:color w:val="000000"/>
                <w:szCs w:val="24"/>
              </w:rPr>
              <w:t>-</w:t>
            </w:r>
          </w:p>
        </w:tc>
        <w:tc>
          <w:tcPr>
            <w:tcW w:w="848" w:type="dxa"/>
            <w:tcBorders>
              <w:top w:val="nil"/>
              <w:left w:val="nil"/>
              <w:bottom w:val="nil"/>
              <w:right w:val="nil"/>
            </w:tcBorders>
            <w:shd w:val="clear" w:color="auto" w:fill="auto"/>
            <w:noWrap/>
            <w:vAlign w:val="center"/>
            <w:hideMark/>
          </w:tcPr>
          <w:p w14:paraId="594F4F2D" w14:textId="77777777" w:rsidR="00112EDC" w:rsidRPr="00E42A54" w:rsidRDefault="00112EDC" w:rsidP="008679FF">
            <w:pPr>
              <w:pStyle w:val="NoSpacing"/>
              <w:rPr>
                <w:color w:val="000000"/>
                <w:szCs w:val="24"/>
              </w:rPr>
            </w:pPr>
            <w:r w:rsidRPr="00E42A54">
              <w:rPr>
                <w:color w:val="000000"/>
                <w:szCs w:val="24"/>
              </w:rPr>
              <w:t>-</w:t>
            </w:r>
          </w:p>
        </w:tc>
        <w:tc>
          <w:tcPr>
            <w:tcW w:w="960" w:type="dxa"/>
            <w:tcBorders>
              <w:top w:val="nil"/>
              <w:left w:val="nil"/>
              <w:bottom w:val="nil"/>
              <w:right w:val="nil"/>
            </w:tcBorders>
            <w:shd w:val="clear" w:color="auto" w:fill="auto"/>
            <w:noWrap/>
            <w:vAlign w:val="center"/>
            <w:hideMark/>
          </w:tcPr>
          <w:p w14:paraId="529D6363" w14:textId="77777777" w:rsidR="00112EDC" w:rsidRPr="00E42A54" w:rsidRDefault="00112EDC" w:rsidP="008679FF">
            <w:pPr>
              <w:pStyle w:val="NoSpacing"/>
              <w:rPr>
                <w:color w:val="000000"/>
                <w:szCs w:val="24"/>
              </w:rPr>
            </w:pPr>
            <w:r w:rsidRPr="00E42A54">
              <w:rPr>
                <w:color w:val="000000"/>
                <w:szCs w:val="24"/>
              </w:rPr>
              <w:t>0.40</w:t>
            </w:r>
          </w:p>
        </w:tc>
        <w:tc>
          <w:tcPr>
            <w:tcW w:w="960" w:type="dxa"/>
            <w:tcBorders>
              <w:top w:val="nil"/>
              <w:left w:val="nil"/>
              <w:bottom w:val="nil"/>
              <w:right w:val="nil"/>
            </w:tcBorders>
            <w:shd w:val="clear" w:color="auto" w:fill="auto"/>
            <w:noWrap/>
            <w:vAlign w:val="center"/>
            <w:hideMark/>
          </w:tcPr>
          <w:p w14:paraId="7AFAB855" w14:textId="77777777" w:rsidR="00112EDC" w:rsidRPr="00E42A54" w:rsidRDefault="00112EDC" w:rsidP="008679FF">
            <w:pPr>
              <w:pStyle w:val="NoSpacing"/>
              <w:rPr>
                <w:color w:val="000000"/>
                <w:szCs w:val="24"/>
              </w:rPr>
            </w:pPr>
            <w:r w:rsidRPr="00E42A54">
              <w:rPr>
                <w:color w:val="000000"/>
                <w:szCs w:val="24"/>
              </w:rPr>
              <w:t>1.38</w:t>
            </w:r>
          </w:p>
        </w:tc>
      </w:tr>
      <w:tr w:rsidR="00112EDC" w:rsidRPr="00112EDC" w14:paraId="2DA03578"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37D66508" w14:textId="77777777" w:rsidR="00112EDC" w:rsidRPr="00E42A54" w:rsidRDefault="00112EDC" w:rsidP="008679FF">
            <w:pPr>
              <w:pStyle w:val="NoSpacing"/>
              <w:rPr>
                <w:color w:val="000000"/>
                <w:szCs w:val="24"/>
              </w:rPr>
            </w:pPr>
            <w:r w:rsidRPr="00E42A54">
              <w:rPr>
                <w:color w:val="000000"/>
                <w:szCs w:val="24"/>
              </w:rPr>
              <w:t>2002</w:t>
            </w:r>
          </w:p>
        </w:tc>
        <w:tc>
          <w:tcPr>
            <w:tcW w:w="960" w:type="dxa"/>
            <w:tcBorders>
              <w:top w:val="nil"/>
              <w:left w:val="nil"/>
              <w:bottom w:val="nil"/>
              <w:right w:val="nil"/>
            </w:tcBorders>
            <w:shd w:val="clear" w:color="auto" w:fill="auto"/>
            <w:noWrap/>
            <w:vAlign w:val="center"/>
            <w:hideMark/>
          </w:tcPr>
          <w:p w14:paraId="36EEBD26"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7FDB1B17" w14:textId="77777777" w:rsidR="00112EDC" w:rsidRPr="00E42A54" w:rsidRDefault="00112EDC" w:rsidP="00127F44">
            <w:pPr>
              <w:pStyle w:val="NoSpacing"/>
              <w:tabs>
                <w:tab w:val="decimal" w:pos="354"/>
              </w:tabs>
              <w:rPr>
                <w:color w:val="000000"/>
                <w:szCs w:val="24"/>
              </w:rPr>
            </w:pPr>
            <w:r w:rsidRPr="00E42A54">
              <w:rPr>
                <w:color w:val="000000"/>
                <w:szCs w:val="24"/>
              </w:rPr>
              <w:t>-</w:t>
            </w:r>
          </w:p>
        </w:tc>
        <w:tc>
          <w:tcPr>
            <w:tcW w:w="848" w:type="dxa"/>
            <w:tcBorders>
              <w:top w:val="nil"/>
              <w:left w:val="nil"/>
              <w:bottom w:val="nil"/>
              <w:right w:val="nil"/>
            </w:tcBorders>
            <w:shd w:val="clear" w:color="auto" w:fill="auto"/>
            <w:noWrap/>
            <w:vAlign w:val="center"/>
            <w:hideMark/>
          </w:tcPr>
          <w:p w14:paraId="13AB3BB7" w14:textId="77777777" w:rsidR="00112EDC" w:rsidRPr="00E42A54" w:rsidRDefault="00112EDC" w:rsidP="008679FF">
            <w:pPr>
              <w:pStyle w:val="NoSpacing"/>
              <w:rPr>
                <w:color w:val="000000"/>
                <w:szCs w:val="24"/>
              </w:rPr>
            </w:pPr>
            <w:r w:rsidRPr="00E42A54">
              <w:rPr>
                <w:color w:val="000000"/>
                <w:szCs w:val="24"/>
              </w:rPr>
              <w:t>-</w:t>
            </w:r>
          </w:p>
        </w:tc>
        <w:tc>
          <w:tcPr>
            <w:tcW w:w="960" w:type="dxa"/>
            <w:tcBorders>
              <w:top w:val="nil"/>
              <w:left w:val="nil"/>
              <w:bottom w:val="nil"/>
              <w:right w:val="nil"/>
            </w:tcBorders>
            <w:shd w:val="clear" w:color="auto" w:fill="auto"/>
            <w:noWrap/>
            <w:vAlign w:val="center"/>
            <w:hideMark/>
          </w:tcPr>
          <w:p w14:paraId="2B1EA6C9" w14:textId="77777777" w:rsidR="00112EDC" w:rsidRPr="00E42A54" w:rsidRDefault="00112EDC" w:rsidP="008679FF">
            <w:pPr>
              <w:pStyle w:val="NoSpacing"/>
              <w:rPr>
                <w:color w:val="000000"/>
                <w:szCs w:val="24"/>
              </w:rPr>
            </w:pPr>
            <w:r w:rsidRPr="00E42A54">
              <w:rPr>
                <w:color w:val="000000"/>
                <w:szCs w:val="24"/>
              </w:rPr>
              <w:t>0.20</w:t>
            </w:r>
          </w:p>
        </w:tc>
        <w:tc>
          <w:tcPr>
            <w:tcW w:w="960" w:type="dxa"/>
            <w:tcBorders>
              <w:top w:val="nil"/>
              <w:left w:val="nil"/>
              <w:bottom w:val="nil"/>
              <w:right w:val="nil"/>
            </w:tcBorders>
            <w:shd w:val="clear" w:color="auto" w:fill="auto"/>
            <w:noWrap/>
            <w:vAlign w:val="center"/>
            <w:hideMark/>
          </w:tcPr>
          <w:p w14:paraId="51F1358D" w14:textId="77777777" w:rsidR="00112EDC" w:rsidRPr="00E42A54" w:rsidRDefault="00112EDC" w:rsidP="008679FF">
            <w:pPr>
              <w:pStyle w:val="NoSpacing"/>
              <w:rPr>
                <w:color w:val="000000"/>
                <w:szCs w:val="24"/>
              </w:rPr>
            </w:pPr>
            <w:r w:rsidRPr="00E42A54">
              <w:rPr>
                <w:color w:val="000000"/>
                <w:szCs w:val="24"/>
              </w:rPr>
              <w:t>2.17</w:t>
            </w:r>
          </w:p>
        </w:tc>
      </w:tr>
      <w:tr w:rsidR="00112EDC" w:rsidRPr="00112EDC" w14:paraId="5BDB70DA"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76300EDD" w14:textId="77777777" w:rsidR="00112EDC" w:rsidRPr="00E42A54" w:rsidRDefault="00112EDC" w:rsidP="008679FF">
            <w:pPr>
              <w:pStyle w:val="NoSpacing"/>
              <w:rPr>
                <w:color w:val="000000"/>
                <w:szCs w:val="24"/>
              </w:rPr>
            </w:pPr>
            <w:r w:rsidRPr="00E42A54">
              <w:rPr>
                <w:color w:val="000000"/>
                <w:szCs w:val="24"/>
              </w:rPr>
              <w:t>2002</w:t>
            </w:r>
          </w:p>
        </w:tc>
        <w:tc>
          <w:tcPr>
            <w:tcW w:w="960" w:type="dxa"/>
            <w:tcBorders>
              <w:top w:val="nil"/>
              <w:left w:val="nil"/>
              <w:bottom w:val="nil"/>
              <w:right w:val="nil"/>
            </w:tcBorders>
            <w:shd w:val="clear" w:color="auto" w:fill="auto"/>
            <w:noWrap/>
            <w:vAlign w:val="center"/>
            <w:hideMark/>
          </w:tcPr>
          <w:p w14:paraId="2CB71F0F"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082F5626" w14:textId="77777777" w:rsidR="00112EDC" w:rsidRPr="00E42A54" w:rsidRDefault="00112EDC" w:rsidP="00127F44">
            <w:pPr>
              <w:pStyle w:val="NoSpacing"/>
              <w:tabs>
                <w:tab w:val="decimal" w:pos="354"/>
              </w:tabs>
              <w:rPr>
                <w:color w:val="000000"/>
                <w:szCs w:val="24"/>
              </w:rPr>
            </w:pPr>
            <w:r w:rsidRPr="00E42A54">
              <w:rPr>
                <w:color w:val="000000"/>
                <w:szCs w:val="24"/>
              </w:rPr>
              <w:t>-</w:t>
            </w:r>
          </w:p>
        </w:tc>
        <w:tc>
          <w:tcPr>
            <w:tcW w:w="848" w:type="dxa"/>
            <w:tcBorders>
              <w:top w:val="nil"/>
              <w:left w:val="nil"/>
              <w:bottom w:val="nil"/>
              <w:right w:val="nil"/>
            </w:tcBorders>
            <w:shd w:val="clear" w:color="auto" w:fill="auto"/>
            <w:noWrap/>
            <w:vAlign w:val="center"/>
            <w:hideMark/>
          </w:tcPr>
          <w:p w14:paraId="1B089F29" w14:textId="77777777" w:rsidR="00112EDC" w:rsidRPr="00E42A54" w:rsidRDefault="00112EDC" w:rsidP="008679FF">
            <w:pPr>
              <w:pStyle w:val="NoSpacing"/>
              <w:rPr>
                <w:color w:val="000000"/>
                <w:szCs w:val="24"/>
              </w:rPr>
            </w:pPr>
            <w:r w:rsidRPr="00E42A54">
              <w:rPr>
                <w:color w:val="000000"/>
                <w:szCs w:val="24"/>
              </w:rPr>
              <w:t>-</w:t>
            </w:r>
          </w:p>
        </w:tc>
        <w:tc>
          <w:tcPr>
            <w:tcW w:w="960" w:type="dxa"/>
            <w:tcBorders>
              <w:top w:val="nil"/>
              <w:left w:val="nil"/>
              <w:bottom w:val="nil"/>
              <w:right w:val="nil"/>
            </w:tcBorders>
            <w:shd w:val="clear" w:color="auto" w:fill="auto"/>
            <w:noWrap/>
            <w:vAlign w:val="center"/>
            <w:hideMark/>
          </w:tcPr>
          <w:p w14:paraId="34CEB9F1" w14:textId="77777777" w:rsidR="00112EDC" w:rsidRPr="00E42A54" w:rsidRDefault="00112EDC" w:rsidP="008679FF">
            <w:pPr>
              <w:pStyle w:val="NoSpacing"/>
              <w:rPr>
                <w:color w:val="000000"/>
                <w:szCs w:val="24"/>
              </w:rPr>
            </w:pPr>
            <w:r w:rsidRPr="00E42A54">
              <w:rPr>
                <w:color w:val="000000"/>
                <w:szCs w:val="24"/>
              </w:rPr>
              <w:t>0.18</w:t>
            </w:r>
          </w:p>
        </w:tc>
        <w:tc>
          <w:tcPr>
            <w:tcW w:w="960" w:type="dxa"/>
            <w:tcBorders>
              <w:top w:val="nil"/>
              <w:left w:val="nil"/>
              <w:bottom w:val="nil"/>
              <w:right w:val="nil"/>
            </w:tcBorders>
            <w:shd w:val="clear" w:color="auto" w:fill="auto"/>
            <w:noWrap/>
            <w:vAlign w:val="center"/>
            <w:hideMark/>
          </w:tcPr>
          <w:p w14:paraId="79C0286A" w14:textId="77777777" w:rsidR="00112EDC" w:rsidRPr="00E42A54" w:rsidRDefault="00112EDC" w:rsidP="008679FF">
            <w:pPr>
              <w:pStyle w:val="NoSpacing"/>
              <w:rPr>
                <w:color w:val="000000"/>
                <w:szCs w:val="24"/>
              </w:rPr>
            </w:pPr>
            <w:r w:rsidRPr="00E42A54">
              <w:rPr>
                <w:color w:val="000000"/>
                <w:szCs w:val="24"/>
              </w:rPr>
              <w:t>2.34</w:t>
            </w:r>
          </w:p>
        </w:tc>
      </w:tr>
      <w:tr w:rsidR="00112EDC" w:rsidRPr="00112EDC" w14:paraId="23448C77"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0C854F43" w14:textId="77777777" w:rsidR="00112EDC" w:rsidRPr="00E42A54" w:rsidRDefault="00112EDC" w:rsidP="008679FF">
            <w:pPr>
              <w:pStyle w:val="NoSpacing"/>
              <w:rPr>
                <w:color w:val="000000"/>
                <w:szCs w:val="24"/>
              </w:rPr>
            </w:pPr>
            <w:r w:rsidRPr="00E42A54">
              <w:rPr>
                <w:color w:val="000000"/>
                <w:szCs w:val="24"/>
              </w:rPr>
              <w:t>2003</w:t>
            </w:r>
          </w:p>
        </w:tc>
        <w:tc>
          <w:tcPr>
            <w:tcW w:w="960" w:type="dxa"/>
            <w:tcBorders>
              <w:top w:val="nil"/>
              <w:left w:val="nil"/>
              <w:bottom w:val="nil"/>
              <w:right w:val="nil"/>
            </w:tcBorders>
            <w:shd w:val="clear" w:color="auto" w:fill="auto"/>
            <w:noWrap/>
            <w:vAlign w:val="center"/>
            <w:hideMark/>
          </w:tcPr>
          <w:p w14:paraId="713E7EAD"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nil"/>
              <w:left w:val="nil"/>
              <w:bottom w:val="nil"/>
              <w:right w:val="nil"/>
            </w:tcBorders>
            <w:shd w:val="clear" w:color="auto" w:fill="auto"/>
            <w:noWrap/>
            <w:vAlign w:val="center"/>
            <w:hideMark/>
          </w:tcPr>
          <w:p w14:paraId="058E9BAD" w14:textId="77777777" w:rsidR="00112EDC" w:rsidRPr="00E42A54" w:rsidRDefault="00112EDC" w:rsidP="00127F44">
            <w:pPr>
              <w:pStyle w:val="NoSpacing"/>
              <w:tabs>
                <w:tab w:val="decimal" w:pos="354"/>
              </w:tabs>
              <w:rPr>
                <w:color w:val="000000"/>
                <w:szCs w:val="24"/>
              </w:rPr>
            </w:pPr>
            <w:r w:rsidRPr="00E42A54">
              <w:rPr>
                <w:color w:val="000000"/>
                <w:szCs w:val="24"/>
              </w:rPr>
              <w:t>-</w:t>
            </w:r>
          </w:p>
        </w:tc>
        <w:tc>
          <w:tcPr>
            <w:tcW w:w="848" w:type="dxa"/>
            <w:tcBorders>
              <w:top w:val="nil"/>
              <w:left w:val="nil"/>
              <w:bottom w:val="nil"/>
              <w:right w:val="nil"/>
            </w:tcBorders>
            <w:shd w:val="clear" w:color="auto" w:fill="auto"/>
            <w:noWrap/>
            <w:vAlign w:val="center"/>
            <w:hideMark/>
          </w:tcPr>
          <w:p w14:paraId="4AF6F3D2" w14:textId="77777777" w:rsidR="00112EDC" w:rsidRPr="00E42A54" w:rsidRDefault="00112EDC" w:rsidP="008679FF">
            <w:pPr>
              <w:pStyle w:val="NoSpacing"/>
              <w:rPr>
                <w:color w:val="000000"/>
                <w:szCs w:val="24"/>
              </w:rPr>
            </w:pPr>
            <w:r w:rsidRPr="00E42A54">
              <w:rPr>
                <w:color w:val="000000"/>
                <w:szCs w:val="24"/>
              </w:rPr>
              <w:t>-</w:t>
            </w:r>
          </w:p>
        </w:tc>
        <w:tc>
          <w:tcPr>
            <w:tcW w:w="960" w:type="dxa"/>
            <w:tcBorders>
              <w:top w:val="nil"/>
              <w:left w:val="nil"/>
              <w:bottom w:val="nil"/>
              <w:right w:val="nil"/>
            </w:tcBorders>
            <w:shd w:val="clear" w:color="auto" w:fill="auto"/>
            <w:noWrap/>
            <w:vAlign w:val="center"/>
            <w:hideMark/>
          </w:tcPr>
          <w:p w14:paraId="7EF48D10" w14:textId="77777777" w:rsidR="00112EDC" w:rsidRPr="00E42A54" w:rsidRDefault="00112EDC" w:rsidP="008679FF">
            <w:pPr>
              <w:pStyle w:val="NoSpacing"/>
              <w:rPr>
                <w:color w:val="000000"/>
                <w:szCs w:val="24"/>
              </w:rPr>
            </w:pPr>
            <w:r w:rsidRPr="00E42A54">
              <w:rPr>
                <w:color w:val="000000"/>
                <w:szCs w:val="24"/>
              </w:rPr>
              <w:t>0.21</w:t>
            </w:r>
          </w:p>
        </w:tc>
        <w:tc>
          <w:tcPr>
            <w:tcW w:w="960" w:type="dxa"/>
            <w:tcBorders>
              <w:top w:val="nil"/>
              <w:left w:val="nil"/>
              <w:bottom w:val="nil"/>
              <w:right w:val="nil"/>
            </w:tcBorders>
            <w:shd w:val="clear" w:color="auto" w:fill="auto"/>
            <w:noWrap/>
            <w:vAlign w:val="center"/>
            <w:hideMark/>
          </w:tcPr>
          <w:p w14:paraId="06D48D7C" w14:textId="77777777" w:rsidR="00112EDC" w:rsidRPr="00E42A54" w:rsidRDefault="00112EDC" w:rsidP="008679FF">
            <w:pPr>
              <w:pStyle w:val="NoSpacing"/>
              <w:rPr>
                <w:color w:val="000000"/>
                <w:szCs w:val="24"/>
              </w:rPr>
            </w:pPr>
            <w:r w:rsidRPr="00E42A54">
              <w:rPr>
                <w:color w:val="000000"/>
                <w:szCs w:val="24"/>
              </w:rPr>
              <w:t>2.16</w:t>
            </w:r>
          </w:p>
        </w:tc>
      </w:tr>
      <w:tr w:rsidR="00112EDC" w:rsidRPr="00112EDC" w14:paraId="58BE3010"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17CD7079" w14:textId="77777777" w:rsidR="00112EDC" w:rsidRPr="00E42A54" w:rsidRDefault="00112EDC" w:rsidP="008679FF">
            <w:pPr>
              <w:pStyle w:val="NoSpacing"/>
              <w:rPr>
                <w:color w:val="000000"/>
                <w:szCs w:val="24"/>
              </w:rPr>
            </w:pPr>
            <w:r w:rsidRPr="00E42A54">
              <w:rPr>
                <w:color w:val="000000"/>
                <w:szCs w:val="24"/>
              </w:rPr>
              <w:t>2003</w:t>
            </w:r>
          </w:p>
        </w:tc>
        <w:tc>
          <w:tcPr>
            <w:tcW w:w="960" w:type="dxa"/>
            <w:tcBorders>
              <w:top w:val="nil"/>
              <w:left w:val="nil"/>
              <w:bottom w:val="nil"/>
              <w:right w:val="nil"/>
            </w:tcBorders>
            <w:shd w:val="clear" w:color="auto" w:fill="auto"/>
            <w:noWrap/>
            <w:vAlign w:val="center"/>
            <w:hideMark/>
          </w:tcPr>
          <w:p w14:paraId="3F60911F"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76AC30D1" w14:textId="77777777" w:rsidR="00112EDC" w:rsidRPr="00E42A54" w:rsidRDefault="00112EDC" w:rsidP="00127F44">
            <w:pPr>
              <w:pStyle w:val="NoSpacing"/>
              <w:tabs>
                <w:tab w:val="decimal" w:pos="354"/>
              </w:tabs>
              <w:rPr>
                <w:color w:val="000000"/>
                <w:szCs w:val="24"/>
              </w:rPr>
            </w:pPr>
            <w:r w:rsidRPr="00E42A54">
              <w:rPr>
                <w:color w:val="000000"/>
                <w:szCs w:val="24"/>
              </w:rPr>
              <w:t>-</w:t>
            </w:r>
          </w:p>
        </w:tc>
        <w:tc>
          <w:tcPr>
            <w:tcW w:w="848" w:type="dxa"/>
            <w:tcBorders>
              <w:top w:val="nil"/>
              <w:left w:val="nil"/>
              <w:bottom w:val="nil"/>
              <w:right w:val="nil"/>
            </w:tcBorders>
            <w:shd w:val="clear" w:color="auto" w:fill="auto"/>
            <w:noWrap/>
            <w:vAlign w:val="center"/>
            <w:hideMark/>
          </w:tcPr>
          <w:p w14:paraId="46D9CAF8" w14:textId="77777777" w:rsidR="00112EDC" w:rsidRPr="00E42A54" w:rsidRDefault="00112EDC" w:rsidP="008679FF">
            <w:pPr>
              <w:pStyle w:val="NoSpacing"/>
              <w:rPr>
                <w:color w:val="000000"/>
                <w:szCs w:val="24"/>
              </w:rPr>
            </w:pPr>
            <w:r w:rsidRPr="00E42A54">
              <w:rPr>
                <w:color w:val="000000"/>
                <w:szCs w:val="24"/>
              </w:rPr>
              <w:t>-</w:t>
            </w:r>
          </w:p>
        </w:tc>
        <w:tc>
          <w:tcPr>
            <w:tcW w:w="960" w:type="dxa"/>
            <w:tcBorders>
              <w:top w:val="nil"/>
              <w:left w:val="nil"/>
              <w:bottom w:val="nil"/>
              <w:right w:val="nil"/>
            </w:tcBorders>
            <w:shd w:val="clear" w:color="auto" w:fill="auto"/>
            <w:noWrap/>
            <w:vAlign w:val="center"/>
            <w:hideMark/>
          </w:tcPr>
          <w:p w14:paraId="2C4C6E7A" w14:textId="77777777" w:rsidR="00112EDC" w:rsidRPr="00E42A54" w:rsidRDefault="00112EDC" w:rsidP="008679FF">
            <w:pPr>
              <w:pStyle w:val="NoSpacing"/>
              <w:rPr>
                <w:color w:val="000000"/>
                <w:szCs w:val="24"/>
              </w:rPr>
            </w:pPr>
            <w:r w:rsidRPr="00E42A54">
              <w:rPr>
                <w:color w:val="000000"/>
                <w:szCs w:val="24"/>
              </w:rPr>
              <w:t>0.37</w:t>
            </w:r>
          </w:p>
        </w:tc>
        <w:tc>
          <w:tcPr>
            <w:tcW w:w="960" w:type="dxa"/>
            <w:tcBorders>
              <w:top w:val="nil"/>
              <w:left w:val="nil"/>
              <w:bottom w:val="nil"/>
              <w:right w:val="nil"/>
            </w:tcBorders>
            <w:shd w:val="clear" w:color="auto" w:fill="auto"/>
            <w:noWrap/>
            <w:vAlign w:val="center"/>
            <w:hideMark/>
          </w:tcPr>
          <w:p w14:paraId="0B3704C2" w14:textId="77777777" w:rsidR="00112EDC" w:rsidRPr="00E42A54" w:rsidRDefault="00112EDC" w:rsidP="008679FF">
            <w:pPr>
              <w:pStyle w:val="NoSpacing"/>
              <w:rPr>
                <w:color w:val="000000"/>
                <w:szCs w:val="24"/>
              </w:rPr>
            </w:pPr>
            <w:r w:rsidRPr="00E42A54">
              <w:rPr>
                <w:color w:val="000000"/>
                <w:szCs w:val="24"/>
              </w:rPr>
              <w:t>1.44</w:t>
            </w:r>
          </w:p>
        </w:tc>
      </w:tr>
      <w:tr w:rsidR="00112EDC" w:rsidRPr="00112EDC" w14:paraId="2F581093"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1346A863" w14:textId="77777777" w:rsidR="00112EDC" w:rsidRPr="00E42A54" w:rsidRDefault="00112EDC" w:rsidP="008679FF">
            <w:pPr>
              <w:pStyle w:val="NoSpacing"/>
              <w:rPr>
                <w:color w:val="000000"/>
                <w:szCs w:val="24"/>
              </w:rPr>
            </w:pPr>
            <w:r w:rsidRPr="00E42A54">
              <w:rPr>
                <w:color w:val="000000"/>
                <w:szCs w:val="24"/>
              </w:rPr>
              <w:t>2003</w:t>
            </w:r>
          </w:p>
        </w:tc>
        <w:tc>
          <w:tcPr>
            <w:tcW w:w="960" w:type="dxa"/>
            <w:tcBorders>
              <w:top w:val="nil"/>
              <w:left w:val="nil"/>
              <w:bottom w:val="nil"/>
              <w:right w:val="nil"/>
            </w:tcBorders>
            <w:shd w:val="clear" w:color="auto" w:fill="auto"/>
            <w:noWrap/>
            <w:vAlign w:val="center"/>
            <w:hideMark/>
          </w:tcPr>
          <w:p w14:paraId="18B697E3"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2FEDA29A" w14:textId="77777777" w:rsidR="00112EDC" w:rsidRPr="00E42A54" w:rsidRDefault="00112EDC" w:rsidP="00127F44">
            <w:pPr>
              <w:pStyle w:val="NoSpacing"/>
              <w:tabs>
                <w:tab w:val="decimal" w:pos="354"/>
              </w:tabs>
              <w:rPr>
                <w:color w:val="000000"/>
                <w:szCs w:val="24"/>
              </w:rPr>
            </w:pPr>
            <w:r w:rsidRPr="00E42A54">
              <w:rPr>
                <w:color w:val="000000"/>
                <w:szCs w:val="24"/>
              </w:rPr>
              <w:t>-</w:t>
            </w:r>
          </w:p>
        </w:tc>
        <w:tc>
          <w:tcPr>
            <w:tcW w:w="848" w:type="dxa"/>
            <w:tcBorders>
              <w:top w:val="nil"/>
              <w:left w:val="nil"/>
              <w:bottom w:val="nil"/>
              <w:right w:val="nil"/>
            </w:tcBorders>
            <w:shd w:val="clear" w:color="auto" w:fill="auto"/>
            <w:noWrap/>
            <w:vAlign w:val="center"/>
            <w:hideMark/>
          </w:tcPr>
          <w:p w14:paraId="4A83BE31" w14:textId="77777777" w:rsidR="00112EDC" w:rsidRPr="00E42A54" w:rsidRDefault="00112EDC" w:rsidP="008679FF">
            <w:pPr>
              <w:pStyle w:val="NoSpacing"/>
              <w:rPr>
                <w:color w:val="000000"/>
                <w:szCs w:val="24"/>
              </w:rPr>
            </w:pPr>
            <w:r w:rsidRPr="00E42A54">
              <w:rPr>
                <w:color w:val="000000"/>
                <w:szCs w:val="24"/>
              </w:rPr>
              <w:t>-</w:t>
            </w:r>
          </w:p>
        </w:tc>
        <w:tc>
          <w:tcPr>
            <w:tcW w:w="960" w:type="dxa"/>
            <w:tcBorders>
              <w:top w:val="nil"/>
              <w:left w:val="nil"/>
              <w:bottom w:val="nil"/>
              <w:right w:val="nil"/>
            </w:tcBorders>
            <w:shd w:val="clear" w:color="auto" w:fill="auto"/>
            <w:noWrap/>
            <w:vAlign w:val="center"/>
            <w:hideMark/>
          </w:tcPr>
          <w:p w14:paraId="3B244C3F" w14:textId="77777777" w:rsidR="00112EDC" w:rsidRPr="00E42A54" w:rsidRDefault="00112EDC" w:rsidP="008679FF">
            <w:pPr>
              <w:pStyle w:val="NoSpacing"/>
              <w:rPr>
                <w:color w:val="000000"/>
                <w:szCs w:val="24"/>
              </w:rPr>
            </w:pPr>
            <w:r w:rsidRPr="00E42A54">
              <w:rPr>
                <w:color w:val="000000"/>
                <w:szCs w:val="24"/>
              </w:rPr>
              <w:t>0.19</w:t>
            </w:r>
          </w:p>
        </w:tc>
        <w:tc>
          <w:tcPr>
            <w:tcW w:w="960" w:type="dxa"/>
            <w:tcBorders>
              <w:top w:val="nil"/>
              <w:left w:val="nil"/>
              <w:bottom w:val="nil"/>
              <w:right w:val="nil"/>
            </w:tcBorders>
            <w:shd w:val="clear" w:color="auto" w:fill="auto"/>
            <w:noWrap/>
            <w:vAlign w:val="center"/>
            <w:hideMark/>
          </w:tcPr>
          <w:p w14:paraId="7A8DDCAF" w14:textId="77777777" w:rsidR="00112EDC" w:rsidRPr="00E42A54" w:rsidRDefault="00112EDC" w:rsidP="008679FF">
            <w:pPr>
              <w:pStyle w:val="NoSpacing"/>
              <w:rPr>
                <w:color w:val="000000"/>
                <w:szCs w:val="24"/>
              </w:rPr>
            </w:pPr>
            <w:r w:rsidRPr="00E42A54">
              <w:rPr>
                <w:color w:val="000000"/>
                <w:szCs w:val="24"/>
              </w:rPr>
              <w:t>2.27</w:t>
            </w:r>
          </w:p>
        </w:tc>
      </w:tr>
      <w:tr w:rsidR="00112EDC" w:rsidRPr="00112EDC" w14:paraId="37FF867E"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60809990" w14:textId="77777777" w:rsidR="00112EDC" w:rsidRPr="00E42A54" w:rsidRDefault="00112EDC" w:rsidP="008679FF">
            <w:pPr>
              <w:pStyle w:val="NoSpacing"/>
              <w:rPr>
                <w:color w:val="000000"/>
                <w:szCs w:val="24"/>
              </w:rPr>
            </w:pPr>
            <w:r w:rsidRPr="00E42A54">
              <w:rPr>
                <w:color w:val="000000"/>
                <w:szCs w:val="24"/>
              </w:rPr>
              <w:t>2003</w:t>
            </w:r>
          </w:p>
        </w:tc>
        <w:tc>
          <w:tcPr>
            <w:tcW w:w="960" w:type="dxa"/>
            <w:tcBorders>
              <w:top w:val="nil"/>
              <w:left w:val="nil"/>
              <w:bottom w:val="nil"/>
              <w:right w:val="nil"/>
            </w:tcBorders>
            <w:shd w:val="clear" w:color="auto" w:fill="auto"/>
            <w:noWrap/>
            <w:vAlign w:val="center"/>
            <w:hideMark/>
          </w:tcPr>
          <w:p w14:paraId="40901210"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7211C71A" w14:textId="77777777" w:rsidR="00112EDC" w:rsidRPr="00E42A54" w:rsidRDefault="00112EDC" w:rsidP="00127F44">
            <w:pPr>
              <w:pStyle w:val="NoSpacing"/>
              <w:tabs>
                <w:tab w:val="decimal" w:pos="354"/>
              </w:tabs>
              <w:rPr>
                <w:color w:val="000000"/>
                <w:szCs w:val="24"/>
              </w:rPr>
            </w:pPr>
            <w:r w:rsidRPr="00E42A54">
              <w:rPr>
                <w:color w:val="000000"/>
                <w:szCs w:val="24"/>
              </w:rPr>
              <w:t>-</w:t>
            </w:r>
          </w:p>
        </w:tc>
        <w:tc>
          <w:tcPr>
            <w:tcW w:w="848" w:type="dxa"/>
            <w:tcBorders>
              <w:top w:val="nil"/>
              <w:left w:val="nil"/>
              <w:bottom w:val="nil"/>
              <w:right w:val="nil"/>
            </w:tcBorders>
            <w:shd w:val="clear" w:color="auto" w:fill="auto"/>
            <w:noWrap/>
            <w:vAlign w:val="center"/>
            <w:hideMark/>
          </w:tcPr>
          <w:p w14:paraId="2F1021BD" w14:textId="77777777" w:rsidR="00112EDC" w:rsidRPr="00E42A54" w:rsidRDefault="00112EDC" w:rsidP="008679FF">
            <w:pPr>
              <w:pStyle w:val="NoSpacing"/>
              <w:rPr>
                <w:color w:val="000000"/>
                <w:szCs w:val="24"/>
              </w:rPr>
            </w:pPr>
            <w:r w:rsidRPr="00E42A54">
              <w:rPr>
                <w:color w:val="000000"/>
                <w:szCs w:val="24"/>
              </w:rPr>
              <w:t>-</w:t>
            </w:r>
          </w:p>
        </w:tc>
        <w:tc>
          <w:tcPr>
            <w:tcW w:w="960" w:type="dxa"/>
            <w:tcBorders>
              <w:top w:val="nil"/>
              <w:left w:val="nil"/>
              <w:bottom w:val="nil"/>
              <w:right w:val="nil"/>
            </w:tcBorders>
            <w:shd w:val="clear" w:color="auto" w:fill="auto"/>
            <w:noWrap/>
            <w:vAlign w:val="center"/>
            <w:hideMark/>
          </w:tcPr>
          <w:p w14:paraId="18EB1BB7" w14:textId="77777777" w:rsidR="00112EDC" w:rsidRPr="00E42A54" w:rsidRDefault="00112EDC" w:rsidP="008679FF">
            <w:pPr>
              <w:pStyle w:val="NoSpacing"/>
              <w:rPr>
                <w:color w:val="000000"/>
                <w:szCs w:val="24"/>
              </w:rPr>
            </w:pPr>
            <w:r w:rsidRPr="00E42A54">
              <w:rPr>
                <w:color w:val="000000"/>
                <w:szCs w:val="24"/>
              </w:rPr>
              <w:t>0.17</w:t>
            </w:r>
          </w:p>
        </w:tc>
        <w:tc>
          <w:tcPr>
            <w:tcW w:w="960" w:type="dxa"/>
            <w:tcBorders>
              <w:top w:val="nil"/>
              <w:left w:val="nil"/>
              <w:bottom w:val="nil"/>
              <w:right w:val="nil"/>
            </w:tcBorders>
            <w:shd w:val="clear" w:color="auto" w:fill="auto"/>
            <w:noWrap/>
            <w:vAlign w:val="center"/>
            <w:hideMark/>
          </w:tcPr>
          <w:p w14:paraId="0E92FCF9" w14:textId="77777777" w:rsidR="00112EDC" w:rsidRPr="00E42A54" w:rsidRDefault="00112EDC" w:rsidP="008679FF">
            <w:pPr>
              <w:pStyle w:val="NoSpacing"/>
              <w:rPr>
                <w:color w:val="000000"/>
                <w:szCs w:val="24"/>
              </w:rPr>
            </w:pPr>
            <w:r w:rsidRPr="00E42A54">
              <w:rPr>
                <w:color w:val="000000"/>
                <w:szCs w:val="24"/>
              </w:rPr>
              <w:t>2.44</w:t>
            </w:r>
          </w:p>
        </w:tc>
      </w:tr>
      <w:tr w:rsidR="00112EDC" w:rsidRPr="00112EDC" w14:paraId="1C1AA0B4"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60D765CA" w14:textId="77777777" w:rsidR="00112EDC" w:rsidRPr="00E42A54" w:rsidRDefault="00112EDC" w:rsidP="008679FF">
            <w:pPr>
              <w:pStyle w:val="NoSpacing"/>
              <w:rPr>
                <w:color w:val="000000"/>
                <w:szCs w:val="24"/>
              </w:rPr>
            </w:pPr>
            <w:r w:rsidRPr="00E42A54">
              <w:rPr>
                <w:color w:val="000000"/>
                <w:szCs w:val="24"/>
              </w:rPr>
              <w:t>2004</w:t>
            </w:r>
          </w:p>
        </w:tc>
        <w:tc>
          <w:tcPr>
            <w:tcW w:w="960" w:type="dxa"/>
            <w:tcBorders>
              <w:top w:val="nil"/>
              <w:left w:val="nil"/>
              <w:bottom w:val="nil"/>
              <w:right w:val="nil"/>
            </w:tcBorders>
            <w:shd w:val="clear" w:color="auto" w:fill="auto"/>
            <w:noWrap/>
            <w:vAlign w:val="center"/>
            <w:hideMark/>
          </w:tcPr>
          <w:p w14:paraId="4268E44E"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nil"/>
              <w:left w:val="nil"/>
              <w:bottom w:val="nil"/>
              <w:right w:val="nil"/>
            </w:tcBorders>
            <w:shd w:val="clear" w:color="auto" w:fill="auto"/>
            <w:noWrap/>
            <w:vAlign w:val="center"/>
            <w:hideMark/>
          </w:tcPr>
          <w:p w14:paraId="4D0B49B8" w14:textId="77777777" w:rsidR="00112EDC" w:rsidRPr="00E42A54" w:rsidRDefault="00112EDC" w:rsidP="00127F44">
            <w:pPr>
              <w:pStyle w:val="NoSpacing"/>
              <w:tabs>
                <w:tab w:val="decimal" w:pos="354"/>
              </w:tabs>
              <w:rPr>
                <w:color w:val="000000"/>
                <w:szCs w:val="24"/>
              </w:rPr>
            </w:pPr>
            <w:r w:rsidRPr="00E42A54">
              <w:rPr>
                <w:color w:val="000000"/>
                <w:szCs w:val="24"/>
              </w:rPr>
              <w:t>-</w:t>
            </w:r>
          </w:p>
        </w:tc>
        <w:tc>
          <w:tcPr>
            <w:tcW w:w="848" w:type="dxa"/>
            <w:tcBorders>
              <w:top w:val="nil"/>
              <w:left w:val="nil"/>
              <w:bottom w:val="nil"/>
              <w:right w:val="nil"/>
            </w:tcBorders>
            <w:shd w:val="clear" w:color="auto" w:fill="auto"/>
            <w:noWrap/>
            <w:vAlign w:val="center"/>
            <w:hideMark/>
          </w:tcPr>
          <w:p w14:paraId="4517F953" w14:textId="77777777" w:rsidR="00112EDC" w:rsidRPr="00E42A54" w:rsidRDefault="00112EDC" w:rsidP="008679FF">
            <w:pPr>
              <w:pStyle w:val="NoSpacing"/>
              <w:rPr>
                <w:color w:val="000000"/>
                <w:szCs w:val="24"/>
              </w:rPr>
            </w:pPr>
            <w:r w:rsidRPr="00E42A54">
              <w:rPr>
                <w:color w:val="000000"/>
                <w:szCs w:val="24"/>
              </w:rPr>
              <w:t>-</w:t>
            </w:r>
          </w:p>
        </w:tc>
        <w:tc>
          <w:tcPr>
            <w:tcW w:w="960" w:type="dxa"/>
            <w:tcBorders>
              <w:top w:val="nil"/>
              <w:left w:val="nil"/>
              <w:bottom w:val="nil"/>
              <w:right w:val="nil"/>
            </w:tcBorders>
            <w:shd w:val="clear" w:color="auto" w:fill="auto"/>
            <w:noWrap/>
            <w:vAlign w:val="center"/>
            <w:hideMark/>
          </w:tcPr>
          <w:p w14:paraId="43C4CB0E" w14:textId="77777777" w:rsidR="00112EDC" w:rsidRPr="00E42A54" w:rsidRDefault="00112EDC" w:rsidP="008679FF">
            <w:pPr>
              <w:pStyle w:val="NoSpacing"/>
              <w:rPr>
                <w:color w:val="000000"/>
                <w:szCs w:val="24"/>
              </w:rPr>
            </w:pPr>
            <w:r w:rsidRPr="00E42A54">
              <w:rPr>
                <w:color w:val="000000"/>
                <w:szCs w:val="24"/>
              </w:rPr>
              <w:t>0.24</w:t>
            </w:r>
          </w:p>
        </w:tc>
        <w:tc>
          <w:tcPr>
            <w:tcW w:w="960" w:type="dxa"/>
            <w:tcBorders>
              <w:top w:val="nil"/>
              <w:left w:val="nil"/>
              <w:bottom w:val="nil"/>
              <w:right w:val="nil"/>
            </w:tcBorders>
            <w:shd w:val="clear" w:color="auto" w:fill="auto"/>
            <w:noWrap/>
            <w:vAlign w:val="center"/>
            <w:hideMark/>
          </w:tcPr>
          <w:p w14:paraId="6FAEB31F" w14:textId="77777777" w:rsidR="00112EDC" w:rsidRPr="00E42A54" w:rsidRDefault="00112EDC" w:rsidP="008679FF">
            <w:pPr>
              <w:pStyle w:val="NoSpacing"/>
              <w:rPr>
                <w:color w:val="000000"/>
                <w:szCs w:val="24"/>
              </w:rPr>
            </w:pPr>
            <w:r w:rsidRPr="00E42A54">
              <w:rPr>
                <w:color w:val="000000"/>
                <w:szCs w:val="24"/>
              </w:rPr>
              <w:t>1.97</w:t>
            </w:r>
          </w:p>
        </w:tc>
      </w:tr>
      <w:tr w:rsidR="00112EDC" w:rsidRPr="00112EDC" w14:paraId="1EB1CFC1"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4493D75B" w14:textId="77777777" w:rsidR="00112EDC" w:rsidRPr="00E42A54" w:rsidRDefault="00112EDC" w:rsidP="008679FF">
            <w:pPr>
              <w:pStyle w:val="NoSpacing"/>
              <w:rPr>
                <w:color w:val="000000"/>
                <w:szCs w:val="24"/>
              </w:rPr>
            </w:pPr>
            <w:r w:rsidRPr="00E42A54">
              <w:rPr>
                <w:color w:val="000000"/>
                <w:szCs w:val="24"/>
              </w:rPr>
              <w:t>2004</w:t>
            </w:r>
          </w:p>
        </w:tc>
        <w:tc>
          <w:tcPr>
            <w:tcW w:w="960" w:type="dxa"/>
            <w:tcBorders>
              <w:top w:val="nil"/>
              <w:left w:val="nil"/>
              <w:bottom w:val="nil"/>
              <w:right w:val="nil"/>
            </w:tcBorders>
            <w:shd w:val="clear" w:color="auto" w:fill="auto"/>
            <w:noWrap/>
            <w:vAlign w:val="center"/>
            <w:hideMark/>
          </w:tcPr>
          <w:p w14:paraId="76B9A036"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4A4435DF" w14:textId="77777777" w:rsidR="00112EDC" w:rsidRPr="00E42A54" w:rsidRDefault="00112EDC" w:rsidP="00127F44">
            <w:pPr>
              <w:pStyle w:val="NoSpacing"/>
              <w:tabs>
                <w:tab w:val="decimal" w:pos="354"/>
              </w:tabs>
              <w:rPr>
                <w:color w:val="000000"/>
                <w:szCs w:val="24"/>
              </w:rPr>
            </w:pPr>
            <w:r w:rsidRPr="00E42A54">
              <w:rPr>
                <w:color w:val="000000"/>
                <w:szCs w:val="24"/>
              </w:rPr>
              <w:t>-</w:t>
            </w:r>
          </w:p>
        </w:tc>
        <w:tc>
          <w:tcPr>
            <w:tcW w:w="848" w:type="dxa"/>
            <w:tcBorders>
              <w:top w:val="nil"/>
              <w:left w:val="nil"/>
              <w:bottom w:val="nil"/>
              <w:right w:val="nil"/>
            </w:tcBorders>
            <w:shd w:val="clear" w:color="auto" w:fill="auto"/>
            <w:noWrap/>
            <w:vAlign w:val="center"/>
            <w:hideMark/>
          </w:tcPr>
          <w:p w14:paraId="35D38866" w14:textId="77777777" w:rsidR="00112EDC" w:rsidRPr="00E42A54" w:rsidRDefault="00112EDC" w:rsidP="008679FF">
            <w:pPr>
              <w:pStyle w:val="NoSpacing"/>
              <w:rPr>
                <w:color w:val="000000"/>
                <w:szCs w:val="24"/>
              </w:rPr>
            </w:pPr>
            <w:r w:rsidRPr="00E42A54">
              <w:rPr>
                <w:color w:val="000000"/>
                <w:szCs w:val="24"/>
              </w:rPr>
              <w:t>-</w:t>
            </w:r>
          </w:p>
        </w:tc>
        <w:tc>
          <w:tcPr>
            <w:tcW w:w="960" w:type="dxa"/>
            <w:tcBorders>
              <w:top w:val="nil"/>
              <w:left w:val="nil"/>
              <w:bottom w:val="nil"/>
              <w:right w:val="nil"/>
            </w:tcBorders>
            <w:shd w:val="clear" w:color="auto" w:fill="auto"/>
            <w:noWrap/>
            <w:vAlign w:val="center"/>
            <w:hideMark/>
          </w:tcPr>
          <w:p w14:paraId="0F248979" w14:textId="77777777" w:rsidR="00112EDC" w:rsidRPr="00E42A54" w:rsidRDefault="00112EDC" w:rsidP="008679FF">
            <w:pPr>
              <w:pStyle w:val="NoSpacing"/>
              <w:rPr>
                <w:color w:val="000000"/>
                <w:szCs w:val="24"/>
              </w:rPr>
            </w:pPr>
            <w:r w:rsidRPr="00E42A54">
              <w:rPr>
                <w:color w:val="000000"/>
                <w:szCs w:val="24"/>
              </w:rPr>
              <w:t>0.42</w:t>
            </w:r>
          </w:p>
        </w:tc>
        <w:tc>
          <w:tcPr>
            <w:tcW w:w="960" w:type="dxa"/>
            <w:tcBorders>
              <w:top w:val="nil"/>
              <w:left w:val="nil"/>
              <w:bottom w:val="nil"/>
              <w:right w:val="nil"/>
            </w:tcBorders>
            <w:shd w:val="clear" w:color="auto" w:fill="auto"/>
            <w:noWrap/>
            <w:vAlign w:val="center"/>
            <w:hideMark/>
          </w:tcPr>
          <w:p w14:paraId="07BAA753" w14:textId="77777777" w:rsidR="00112EDC" w:rsidRPr="00E42A54" w:rsidRDefault="00112EDC" w:rsidP="008679FF">
            <w:pPr>
              <w:pStyle w:val="NoSpacing"/>
              <w:rPr>
                <w:color w:val="000000"/>
                <w:szCs w:val="24"/>
              </w:rPr>
            </w:pPr>
            <w:r w:rsidRPr="00E42A54">
              <w:rPr>
                <w:color w:val="000000"/>
                <w:szCs w:val="24"/>
              </w:rPr>
              <w:t>1.33</w:t>
            </w:r>
          </w:p>
        </w:tc>
      </w:tr>
      <w:tr w:rsidR="00112EDC" w:rsidRPr="00112EDC" w14:paraId="400141BD"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267BE639" w14:textId="77777777" w:rsidR="00112EDC" w:rsidRPr="00E42A54" w:rsidRDefault="00112EDC" w:rsidP="008679FF">
            <w:pPr>
              <w:pStyle w:val="NoSpacing"/>
              <w:rPr>
                <w:color w:val="000000"/>
                <w:szCs w:val="24"/>
              </w:rPr>
            </w:pPr>
            <w:r w:rsidRPr="00E42A54">
              <w:rPr>
                <w:color w:val="000000"/>
                <w:szCs w:val="24"/>
              </w:rPr>
              <w:t>2004</w:t>
            </w:r>
          </w:p>
        </w:tc>
        <w:tc>
          <w:tcPr>
            <w:tcW w:w="960" w:type="dxa"/>
            <w:tcBorders>
              <w:top w:val="nil"/>
              <w:left w:val="nil"/>
              <w:bottom w:val="nil"/>
              <w:right w:val="nil"/>
            </w:tcBorders>
            <w:shd w:val="clear" w:color="auto" w:fill="auto"/>
            <w:noWrap/>
            <w:vAlign w:val="center"/>
            <w:hideMark/>
          </w:tcPr>
          <w:p w14:paraId="7A3BDAA4"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653FBFC9" w14:textId="77777777" w:rsidR="00112EDC" w:rsidRPr="00E42A54" w:rsidRDefault="00112EDC" w:rsidP="008679FF">
            <w:pPr>
              <w:pStyle w:val="NoSpacing"/>
              <w:rPr>
                <w:color w:val="000000"/>
                <w:szCs w:val="24"/>
              </w:rPr>
            </w:pPr>
            <w:r w:rsidRPr="00E42A54">
              <w:rPr>
                <w:color w:val="000000"/>
                <w:szCs w:val="24"/>
              </w:rPr>
              <w:t>-</w:t>
            </w:r>
          </w:p>
        </w:tc>
        <w:tc>
          <w:tcPr>
            <w:tcW w:w="848" w:type="dxa"/>
            <w:tcBorders>
              <w:top w:val="nil"/>
              <w:left w:val="nil"/>
              <w:bottom w:val="nil"/>
              <w:right w:val="nil"/>
            </w:tcBorders>
            <w:shd w:val="clear" w:color="auto" w:fill="auto"/>
            <w:noWrap/>
            <w:vAlign w:val="center"/>
            <w:hideMark/>
          </w:tcPr>
          <w:p w14:paraId="59AD65BF" w14:textId="77777777" w:rsidR="00112EDC" w:rsidRPr="00E42A54" w:rsidRDefault="00112EDC" w:rsidP="008679FF">
            <w:pPr>
              <w:pStyle w:val="NoSpacing"/>
              <w:rPr>
                <w:color w:val="000000"/>
                <w:szCs w:val="24"/>
              </w:rPr>
            </w:pPr>
            <w:r w:rsidRPr="00E42A54">
              <w:rPr>
                <w:color w:val="000000"/>
                <w:szCs w:val="24"/>
              </w:rPr>
              <w:t>-</w:t>
            </w:r>
          </w:p>
        </w:tc>
        <w:tc>
          <w:tcPr>
            <w:tcW w:w="960" w:type="dxa"/>
            <w:tcBorders>
              <w:top w:val="nil"/>
              <w:left w:val="nil"/>
              <w:bottom w:val="nil"/>
              <w:right w:val="nil"/>
            </w:tcBorders>
            <w:shd w:val="clear" w:color="auto" w:fill="auto"/>
            <w:noWrap/>
            <w:vAlign w:val="center"/>
            <w:hideMark/>
          </w:tcPr>
          <w:p w14:paraId="6C254785" w14:textId="77777777" w:rsidR="00112EDC" w:rsidRPr="00E42A54" w:rsidRDefault="00112EDC" w:rsidP="008679FF">
            <w:pPr>
              <w:pStyle w:val="NoSpacing"/>
              <w:rPr>
                <w:color w:val="000000"/>
                <w:szCs w:val="24"/>
              </w:rPr>
            </w:pPr>
            <w:r w:rsidRPr="00E42A54">
              <w:rPr>
                <w:color w:val="000000"/>
                <w:szCs w:val="24"/>
              </w:rPr>
              <w:t>0.22</w:t>
            </w:r>
          </w:p>
        </w:tc>
        <w:tc>
          <w:tcPr>
            <w:tcW w:w="960" w:type="dxa"/>
            <w:tcBorders>
              <w:top w:val="nil"/>
              <w:left w:val="nil"/>
              <w:bottom w:val="nil"/>
              <w:right w:val="nil"/>
            </w:tcBorders>
            <w:shd w:val="clear" w:color="auto" w:fill="auto"/>
            <w:noWrap/>
            <w:vAlign w:val="center"/>
            <w:hideMark/>
          </w:tcPr>
          <w:p w14:paraId="6D35B22C" w14:textId="77777777" w:rsidR="00112EDC" w:rsidRPr="00E42A54" w:rsidRDefault="00112EDC" w:rsidP="008679FF">
            <w:pPr>
              <w:pStyle w:val="NoSpacing"/>
              <w:rPr>
                <w:color w:val="000000"/>
                <w:szCs w:val="24"/>
              </w:rPr>
            </w:pPr>
            <w:r w:rsidRPr="00E42A54">
              <w:rPr>
                <w:color w:val="000000"/>
                <w:szCs w:val="24"/>
              </w:rPr>
              <w:t>2.07</w:t>
            </w:r>
          </w:p>
        </w:tc>
      </w:tr>
      <w:tr w:rsidR="00112EDC" w:rsidRPr="00112EDC" w14:paraId="7E2E1DF5"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0B43BDF7" w14:textId="77777777" w:rsidR="00112EDC" w:rsidRPr="00E42A54" w:rsidRDefault="00112EDC" w:rsidP="008679FF">
            <w:pPr>
              <w:pStyle w:val="NoSpacing"/>
              <w:rPr>
                <w:color w:val="000000"/>
                <w:szCs w:val="24"/>
              </w:rPr>
            </w:pPr>
            <w:r w:rsidRPr="00E42A54">
              <w:rPr>
                <w:color w:val="000000"/>
                <w:szCs w:val="24"/>
              </w:rPr>
              <w:t>2004</w:t>
            </w:r>
          </w:p>
        </w:tc>
        <w:tc>
          <w:tcPr>
            <w:tcW w:w="960" w:type="dxa"/>
            <w:tcBorders>
              <w:top w:val="nil"/>
              <w:left w:val="nil"/>
              <w:bottom w:val="nil"/>
              <w:right w:val="nil"/>
            </w:tcBorders>
            <w:shd w:val="clear" w:color="auto" w:fill="auto"/>
            <w:noWrap/>
            <w:vAlign w:val="center"/>
            <w:hideMark/>
          </w:tcPr>
          <w:p w14:paraId="40DB5917"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39F58F36" w14:textId="77777777" w:rsidR="00112EDC" w:rsidRPr="00E42A54" w:rsidRDefault="00112EDC" w:rsidP="008679FF">
            <w:pPr>
              <w:pStyle w:val="NoSpacing"/>
              <w:rPr>
                <w:color w:val="000000"/>
                <w:szCs w:val="24"/>
              </w:rPr>
            </w:pPr>
            <w:r w:rsidRPr="00E42A54">
              <w:rPr>
                <w:color w:val="000000"/>
                <w:szCs w:val="24"/>
              </w:rPr>
              <w:t>-</w:t>
            </w:r>
          </w:p>
        </w:tc>
        <w:tc>
          <w:tcPr>
            <w:tcW w:w="848" w:type="dxa"/>
            <w:tcBorders>
              <w:top w:val="nil"/>
              <w:left w:val="nil"/>
              <w:bottom w:val="nil"/>
              <w:right w:val="nil"/>
            </w:tcBorders>
            <w:shd w:val="clear" w:color="auto" w:fill="auto"/>
            <w:noWrap/>
            <w:vAlign w:val="center"/>
            <w:hideMark/>
          </w:tcPr>
          <w:p w14:paraId="1C83EBE0" w14:textId="77777777" w:rsidR="00112EDC" w:rsidRPr="00E42A54" w:rsidRDefault="00112EDC" w:rsidP="008679FF">
            <w:pPr>
              <w:pStyle w:val="NoSpacing"/>
              <w:rPr>
                <w:color w:val="000000"/>
                <w:szCs w:val="24"/>
              </w:rPr>
            </w:pPr>
            <w:r w:rsidRPr="00E42A54">
              <w:rPr>
                <w:color w:val="000000"/>
                <w:szCs w:val="24"/>
              </w:rPr>
              <w:t>-</w:t>
            </w:r>
          </w:p>
        </w:tc>
        <w:tc>
          <w:tcPr>
            <w:tcW w:w="960" w:type="dxa"/>
            <w:tcBorders>
              <w:top w:val="nil"/>
              <w:left w:val="nil"/>
              <w:bottom w:val="nil"/>
              <w:right w:val="nil"/>
            </w:tcBorders>
            <w:shd w:val="clear" w:color="auto" w:fill="auto"/>
            <w:noWrap/>
            <w:vAlign w:val="center"/>
            <w:hideMark/>
          </w:tcPr>
          <w:p w14:paraId="0BFCC160" w14:textId="77777777" w:rsidR="00112EDC" w:rsidRPr="00E42A54" w:rsidRDefault="00112EDC" w:rsidP="008679FF">
            <w:pPr>
              <w:pStyle w:val="NoSpacing"/>
              <w:rPr>
                <w:color w:val="000000"/>
                <w:szCs w:val="24"/>
              </w:rPr>
            </w:pPr>
            <w:r w:rsidRPr="00E42A54">
              <w:rPr>
                <w:color w:val="000000"/>
                <w:szCs w:val="24"/>
              </w:rPr>
              <w:t>0.19</w:t>
            </w:r>
          </w:p>
        </w:tc>
        <w:tc>
          <w:tcPr>
            <w:tcW w:w="960" w:type="dxa"/>
            <w:tcBorders>
              <w:top w:val="nil"/>
              <w:left w:val="nil"/>
              <w:bottom w:val="nil"/>
              <w:right w:val="nil"/>
            </w:tcBorders>
            <w:shd w:val="clear" w:color="auto" w:fill="auto"/>
            <w:noWrap/>
            <w:vAlign w:val="center"/>
            <w:hideMark/>
          </w:tcPr>
          <w:p w14:paraId="7A9340E9" w14:textId="77777777" w:rsidR="00112EDC" w:rsidRPr="00E42A54" w:rsidRDefault="00112EDC" w:rsidP="008679FF">
            <w:pPr>
              <w:pStyle w:val="NoSpacing"/>
              <w:rPr>
                <w:color w:val="000000"/>
                <w:szCs w:val="24"/>
              </w:rPr>
            </w:pPr>
            <w:r w:rsidRPr="00E42A54">
              <w:rPr>
                <w:color w:val="000000"/>
                <w:szCs w:val="24"/>
              </w:rPr>
              <w:t>2.23</w:t>
            </w:r>
          </w:p>
        </w:tc>
      </w:tr>
      <w:tr w:rsidR="00112EDC" w:rsidRPr="00112EDC" w14:paraId="75657C7E"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4A402ED3" w14:textId="77777777" w:rsidR="00112EDC" w:rsidRPr="00E42A54" w:rsidRDefault="00112EDC" w:rsidP="008679FF">
            <w:pPr>
              <w:pStyle w:val="NoSpacing"/>
              <w:rPr>
                <w:color w:val="000000"/>
                <w:szCs w:val="24"/>
              </w:rPr>
            </w:pPr>
            <w:r w:rsidRPr="00E42A54">
              <w:rPr>
                <w:color w:val="000000"/>
                <w:szCs w:val="24"/>
              </w:rPr>
              <w:t>2005</w:t>
            </w:r>
          </w:p>
        </w:tc>
        <w:tc>
          <w:tcPr>
            <w:tcW w:w="960" w:type="dxa"/>
            <w:tcBorders>
              <w:top w:val="nil"/>
              <w:left w:val="nil"/>
              <w:bottom w:val="nil"/>
              <w:right w:val="nil"/>
            </w:tcBorders>
            <w:shd w:val="clear" w:color="auto" w:fill="auto"/>
            <w:noWrap/>
            <w:vAlign w:val="center"/>
            <w:hideMark/>
          </w:tcPr>
          <w:p w14:paraId="1B512102"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nil"/>
              <w:left w:val="nil"/>
              <w:bottom w:val="nil"/>
              <w:right w:val="nil"/>
            </w:tcBorders>
            <w:shd w:val="clear" w:color="auto" w:fill="auto"/>
            <w:noWrap/>
            <w:vAlign w:val="center"/>
            <w:hideMark/>
          </w:tcPr>
          <w:p w14:paraId="126C00BA" w14:textId="77777777" w:rsidR="00112EDC" w:rsidRPr="00E42A54" w:rsidRDefault="00112EDC" w:rsidP="008679FF">
            <w:pPr>
              <w:pStyle w:val="NoSpacing"/>
              <w:rPr>
                <w:color w:val="000000"/>
                <w:szCs w:val="24"/>
              </w:rPr>
            </w:pPr>
            <w:r w:rsidRPr="00E42A54">
              <w:rPr>
                <w:color w:val="000000"/>
                <w:szCs w:val="24"/>
              </w:rPr>
              <w:t>13.06</w:t>
            </w:r>
          </w:p>
        </w:tc>
        <w:tc>
          <w:tcPr>
            <w:tcW w:w="848" w:type="dxa"/>
            <w:tcBorders>
              <w:top w:val="nil"/>
              <w:left w:val="nil"/>
              <w:bottom w:val="nil"/>
              <w:right w:val="nil"/>
            </w:tcBorders>
            <w:shd w:val="clear" w:color="auto" w:fill="auto"/>
            <w:noWrap/>
            <w:vAlign w:val="center"/>
            <w:hideMark/>
          </w:tcPr>
          <w:p w14:paraId="54649F7C" w14:textId="77777777" w:rsidR="00112EDC" w:rsidRPr="00E42A54" w:rsidRDefault="00112EDC" w:rsidP="008679FF">
            <w:pPr>
              <w:pStyle w:val="NoSpacing"/>
              <w:rPr>
                <w:color w:val="000000"/>
                <w:szCs w:val="24"/>
              </w:rPr>
            </w:pPr>
            <w:r w:rsidRPr="00E42A54">
              <w:rPr>
                <w:color w:val="000000"/>
                <w:szCs w:val="24"/>
              </w:rPr>
              <w:t>0.03</w:t>
            </w:r>
          </w:p>
        </w:tc>
        <w:tc>
          <w:tcPr>
            <w:tcW w:w="960" w:type="dxa"/>
            <w:tcBorders>
              <w:top w:val="nil"/>
              <w:left w:val="nil"/>
              <w:bottom w:val="nil"/>
              <w:right w:val="nil"/>
            </w:tcBorders>
            <w:shd w:val="clear" w:color="auto" w:fill="auto"/>
            <w:noWrap/>
            <w:vAlign w:val="center"/>
            <w:hideMark/>
          </w:tcPr>
          <w:p w14:paraId="33472F90" w14:textId="77777777" w:rsidR="00112EDC" w:rsidRPr="00E42A54" w:rsidRDefault="00112EDC" w:rsidP="008679FF">
            <w:pPr>
              <w:pStyle w:val="NoSpacing"/>
              <w:rPr>
                <w:color w:val="000000"/>
                <w:szCs w:val="24"/>
              </w:rPr>
            </w:pPr>
            <w:r w:rsidRPr="00E42A54">
              <w:rPr>
                <w:color w:val="000000"/>
                <w:szCs w:val="24"/>
              </w:rPr>
              <w:t>0.20</w:t>
            </w:r>
          </w:p>
        </w:tc>
        <w:tc>
          <w:tcPr>
            <w:tcW w:w="960" w:type="dxa"/>
            <w:tcBorders>
              <w:top w:val="nil"/>
              <w:left w:val="nil"/>
              <w:bottom w:val="nil"/>
              <w:right w:val="nil"/>
            </w:tcBorders>
            <w:shd w:val="clear" w:color="auto" w:fill="auto"/>
            <w:noWrap/>
            <w:vAlign w:val="center"/>
            <w:hideMark/>
          </w:tcPr>
          <w:p w14:paraId="4CF88725" w14:textId="77777777" w:rsidR="00112EDC" w:rsidRPr="00E42A54" w:rsidRDefault="00112EDC" w:rsidP="008679FF">
            <w:pPr>
              <w:pStyle w:val="NoSpacing"/>
              <w:rPr>
                <w:color w:val="000000"/>
                <w:szCs w:val="24"/>
              </w:rPr>
            </w:pPr>
            <w:r w:rsidRPr="00E42A54">
              <w:rPr>
                <w:color w:val="000000"/>
                <w:szCs w:val="24"/>
              </w:rPr>
              <w:t>2.21</w:t>
            </w:r>
          </w:p>
        </w:tc>
      </w:tr>
      <w:tr w:rsidR="00112EDC" w:rsidRPr="00112EDC" w14:paraId="0849F8B0"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5165D6BF" w14:textId="77777777" w:rsidR="00112EDC" w:rsidRPr="00E42A54" w:rsidRDefault="00112EDC" w:rsidP="008679FF">
            <w:pPr>
              <w:pStyle w:val="NoSpacing"/>
              <w:rPr>
                <w:color w:val="000000"/>
                <w:szCs w:val="24"/>
              </w:rPr>
            </w:pPr>
            <w:r w:rsidRPr="00E42A54">
              <w:rPr>
                <w:color w:val="000000"/>
                <w:szCs w:val="24"/>
              </w:rPr>
              <w:t>2005</w:t>
            </w:r>
          </w:p>
        </w:tc>
        <w:tc>
          <w:tcPr>
            <w:tcW w:w="960" w:type="dxa"/>
            <w:tcBorders>
              <w:top w:val="nil"/>
              <w:left w:val="nil"/>
              <w:bottom w:val="nil"/>
              <w:right w:val="nil"/>
            </w:tcBorders>
            <w:shd w:val="clear" w:color="auto" w:fill="auto"/>
            <w:noWrap/>
            <w:vAlign w:val="center"/>
            <w:hideMark/>
          </w:tcPr>
          <w:p w14:paraId="4AEC49A8"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65D29DED" w14:textId="77777777" w:rsidR="00112EDC" w:rsidRPr="00E42A54" w:rsidRDefault="00112EDC" w:rsidP="008679FF">
            <w:pPr>
              <w:pStyle w:val="NoSpacing"/>
              <w:rPr>
                <w:color w:val="000000"/>
                <w:szCs w:val="24"/>
              </w:rPr>
            </w:pPr>
            <w:r w:rsidRPr="00E42A54">
              <w:rPr>
                <w:color w:val="000000"/>
                <w:szCs w:val="24"/>
              </w:rPr>
              <w:t>11.66</w:t>
            </w:r>
          </w:p>
        </w:tc>
        <w:tc>
          <w:tcPr>
            <w:tcW w:w="848" w:type="dxa"/>
            <w:tcBorders>
              <w:top w:val="nil"/>
              <w:left w:val="nil"/>
              <w:bottom w:val="nil"/>
              <w:right w:val="nil"/>
            </w:tcBorders>
            <w:shd w:val="clear" w:color="auto" w:fill="auto"/>
            <w:noWrap/>
            <w:vAlign w:val="center"/>
            <w:hideMark/>
          </w:tcPr>
          <w:p w14:paraId="5C017C84" w14:textId="77777777" w:rsidR="00112EDC" w:rsidRPr="00E42A54" w:rsidRDefault="00112EDC" w:rsidP="008679FF">
            <w:pPr>
              <w:pStyle w:val="NoSpacing"/>
              <w:rPr>
                <w:color w:val="000000"/>
                <w:szCs w:val="24"/>
              </w:rPr>
            </w:pPr>
            <w:r w:rsidRPr="00E42A54">
              <w:rPr>
                <w:color w:val="000000"/>
                <w:szCs w:val="24"/>
              </w:rPr>
              <w:t>0.03</w:t>
            </w:r>
          </w:p>
        </w:tc>
        <w:tc>
          <w:tcPr>
            <w:tcW w:w="960" w:type="dxa"/>
            <w:tcBorders>
              <w:top w:val="nil"/>
              <w:left w:val="nil"/>
              <w:bottom w:val="nil"/>
              <w:right w:val="nil"/>
            </w:tcBorders>
            <w:shd w:val="clear" w:color="auto" w:fill="auto"/>
            <w:noWrap/>
            <w:vAlign w:val="center"/>
            <w:hideMark/>
          </w:tcPr>
          <w:p w14:paraId="4012B19D" w14:textId="77777777" w:rsidR="00112EDC" w:rsidRPr="00E42A54" w:rsidRDefault="00112EDC" w:rsidP="008679FF">
            <w:pPr>
              <w:pStyle w:val="NoSpacing"/>
              <w:rPr>
                <w:color w:val="000000"/>
                <w:szCs w:val="24"/>
              </w:rPr>
            </w:pPr>
            <w:r w:rsidRPr="00E42A54">
              <w:rPr>
                <w:color w:val="000000"/>
                <w:szCs w:val="24"/>
              </w:rPr>
              <w:t>0.37</w:t>
            </w:r>
          </w:p>
        </w:tc>
        <w:tc>
          <w:tcPr>
            <w:tcW w:w="960" w:type="dxa"/>
            <w:tcBorders>
              <w:top w:val="nil"/>
              <w:left w:val="nil"/>
              <w:bottom w:val="nil"/>
              <w:right w:val="nil"/>
            </w:tcBorders>
            <w:shd w:val="clear" w:color="auto" w:fill="auto"/>
            <w:noWrap/>
            <w:vAlign w:val="center"/>
            <w:hideMark/>
          </w:tcPr>
          <w:p w14:paraId="2834AFD3" w14:textId="77777777" w:rsidR="00112EDC" w:rsidRPr="00E42A54" w:rsidRDefault="00112EDC" w:rsidP="008679FF">
            <w:pPr>
              <w:pStyle w:val="NoSpacing"/>
              <w:rPr>
                <w:color w:val="000000"/>
                <w:szCs w:val="24"/>
              </w:rPr>
            </w:pPr>
            <w:r w:rsidRPr="00E42A54">
              <w:rPr>
                <w:color w:val="000000"/>
                <w:szCs w:val="24"/>
              </w:rPr>
              <w:t>1.47</w:t>
            </w:r>
          </w:p>
        </w:tc>
      </w:tr>
      <w:tr w:rsidR="00112EDC" w:rsidRPr="00112EDC" w14:paraId="27C32F23"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18D632E9" w14:textId="77777777" w:rsidR="00112EDC" w:rsidRPr="00E42A54" w:rsidRDefault="00112EDC" w:rsidP="008679FF">
            <w:pPr>
              <w:pStyle w:val="NoSpacing"/>
              <w:rPr>
                <w:color w:val="000000"/>
                <w:szCs w:val="24"/>
              </w:rPr>
            </w:pPr>
            <w:r w:rsidRPr="00E42A54">
              <w:rPr>
                <w:color w:val="000000"/>
                <w:szCs w:val="24"/>
              </w:rPr>
              <w:t>2005</w:t>
            </w:r>
          </w:p>
        </w:tc>
        <w:tc>
          <w:tcPr>
            <w:tcW w:w="960" w:type="dxa"/>
            <w:tcBorders>
              <w:top w:val="nil"/>
              <w:left w:val="nil"/>
              <w:bottom w:val="nil"/>
              <w:right w:val="nil"/>
            </w:tcBorders>
            <w:shd w:val="clear" w:color="auto" w:fill="auto"/>
            <w:noWrap/>
            <w:vAlign w:val="center"/>
            <w:hideMark/>
          </w:tcPr>
          <w:p w14:paraId="6C6BC63F"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7DA1422A" w14:textId="77777777" w:rsidR="00112EDC" w:rsidRPr="00E42A54" w:rsidRDefault="00112EDC" w:rsidP="008679FF">
            <w:pPr>
              <w:pStyle w:val="NoSpacing"/>
              <w:rPr>
                <w:color w:val="000000"/>
                <w:szCs w:val="24"/>
              </w:rPr>
            </w:pPr>
            <w:r w:rsidRPr="00E42A54">
              <w:rPr>
                <w:color w:val="000000"/>
                <w:szCs w:val="24"/>
              </w:rPr>
              <w:t>10.81</w:t>
            </w:r>
          </w:p>
        </w:tc>
        <w:tc>
          <w:tcPr>
            <w:tcW w:w="848" w:type="dxa"/>
            <w:tcBorders>
              <w:top w:val="nil"/>
              <w:left w:val="nil"/>
              <w:bottom w:val="nil"/>
              <w:right w:val="nil"/>
            </w:tcBorders>
            <w:shd w:val="clear" w:color="auto" w:fill="auto"/>
            <w:noWrap/>
            <w:vAlign w:val="center"/>
            <w:hideMark/>
          </w:tcPr>
          <w:p w14:paraId="2E743906" w14:textId="77777777" w:rsidR="00112EDC" w:rsidRPr="00E42A54" w:rsidRDefault="00112EDC" w:rsidP="008679FF">
            <w:pPr>
              <w:pStyle w:val="NoSpacing"/>
              <w:rPr>
                <w:color w:val="000000"/>
                <w:szCs w:val="24"/>
              </w:rPr>
            </w:pPr>
            <w:r w:rsidRPr="00E42A54">
              <w:rPr>
                <w:color w:val="000000"/>
                <w:szCs w:val="24"/>
              </w:rPr>
              <w:t>0.03</w:t>
            </w:r>
          </w:p>
        </w:tc>
        <w:tc>
          <w:tcPr>
            <w:tcW w:w="960" w:type="dxa"/>
            <w:tcBorders>
              <w:top w:val="nil"/>
              <w:left w:val="nil"/>
              <w:bottom w:val="nil"/>
              <w:right w:val="nil"/>
            </w:tcBorders>
            <w:shd w:val="clear" w:color="auto" w:fill="auto"/>
            <w:noWrap/>
            <w:vAlign w:val="center"/>
            <w:hideMark/>
          </w:tcPr>
          <w:p w14:paraId="3BBC6715" w14:textId="77777777" w:rsidR="00112EDC" w:rsidRPr="00E42A54" w:rsidRDefault="00112EDC" w:rsidP="008679FF">
            <w:pPr>
              <w:pStyle w:val="NoSpacing"/>
              <w:rPr>
                <w:color w:val="000000"/>
                <w:szCs w:val="24"/>
              </w:rPr>
            </w:pPr>
            <w:r w:rsidRPr="00E42A54">
              <w:rPr>
                <w:color w:val="000000"/>
                <w:szCs w:val="24"/>
              </w:rPr>
              <w:t>0.18</w:t>
            </w:r>
          </w:p>
        </w:tc>
        <w:tc>
          <w:tcPr>
            <w:tcW w:w="960" w:type="dxa"/>
            <w:tcBorders>
              <w:top w:val="nil"/>
              <w:left w:val="nil"/>
              <w:bottom w:val="nil"/>
              <w:right w:val="nil"/>
            </w:tcBorders>
            <w:shd w:val="clear" w:color="auto" w:fill="auto"/>
            <w:noWrap/>
            <w:vAlign w:val="center"/>
            <w:hideMark/>
          </w:tcPr>
          <w:p w14:paraId="45CB6A8B" w14:textId="77777777" w:rsidR="00112EDC" w:rsidRPr="00E42A54" w:rsidRDefault="00112EDC" w:rsidP="008679FF">
            <w:pPr>
              <w:pStyle w:val="NoSpacing"/>
              <w:rPr>
                <w:color w:val="000000"/>
                <w:szCs w:val="24"/>
              </w:rPr>
            </w:pPr>
            <w:r w:rsidRPr="00E42A54">
              <w:rPr>
                <w:color w:val="000000"/>
                <w:szCs w:val="24"/>
              </w:rPr>
              <w:t>2.34</w:t>
            </w:r>
          </w:p>
        </w:tc>
      </w:tr>
      <w:tr w:rsidR="00112EDC" w:rsidRPr="00112EDC" w14:paraId="5756BBFE"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05F426FD" w14:textId="77777777" w:rsidR="00112EDC" w:rsidRPr="00E42A54" w:rsidRDefault="00112EDC" w:rsidP="008679FF">
            <w:pPr>
              <w:pStyle w:val="NoSpacing"/>
              <w:rPr>
                <w:color w:val="000000"/>
                <w:szCs w:val="24"/>
              </w:rPr>
            </w:pPr>
            <w:r w:rsidRPr="00E42A54">
              <w:rPr>
                <w:color w:val="000000"/>
                <w:szCs w:val="24"/>
              </w:rPr>
              <w:t>2005</w:t>
            </w:r>
          </w:p>
        </w:tc>
        <w:tc>
          <w:tcPr>
            <w:tcW w:w="960" w:type="dxa"/>
            <w:tcBorders>
              <w:top w:val="nil"/>
              <w:left w:val="nil"/>
              <w:bottom w:val="nil"/>
              <w:right w:val="nil"/>
            </w:tcBorders>
            <w:shd w:val="clear" w:color="auto" w:fill="auto"/>
            <w:noWrap/>
            <w:vAlign w:val="center"/>
            <w:hideMark/>
          </w:tcPr>
          <w:p w14:paraId="02886027"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44DD5A09" w14:textId="77777777" w:rsidR="00112EDC" w:rsidRPr="00E42A54" w:rsidRDefault="00112EDC" w:rsidP="008679FF">
            <w:pPr>
              <w:pStyle w:val="NoSpacing"/>
              <w:rPr>
                <w:color w:val="000000"/>
                <w:szCs w:val="24"/>
              </w:rPr>
            </w:pPr>
            <w:r w:rsidRPr="00E42A54">
              <w:rPr>
                <w:color w:val="000000"/>
                <w:szCs w:val="24"/>
              </w:rPr>
              <w:t>10.31</w:t>
            </w:r>
          </w:p>
        </w:tc>
        <w:tc>
          <w:tcPr>
            <w:tcW w:w="848" w:type="dxa"/>
            <w:tcBorders>
              <w:top w:val="nil"/>
              <w:left w:val="nil"/>
              <w:bottom w:val="nil"/>
              <w:right w:val="nil"/>
            </w:tcBorders>
            <w:shd w:val="clear" w:color="auto" w:fill="auto"/>
            <w:noWrap/>
            <w:vAlign w:val="center"/>
            <w:hideMark/>
          </w:tcPr>
          <w:p w14:paraId="7AD3E901"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2E9EC520" w14:textId="77777777" w:rsidR="00112EDC" w:rsidRPr="00E42A54" w:rsidRDefault="00112EDC" w:rsidP="008679FF">
            <w:pPr>
              <w:pStyle w:val="NoSpacing"/>
              <w:rPr>
                <w:color w:val="000000"/>
                <w:szCs w:val="24"/>
              </w:rPr>
            </w:pPr>
            <w:r w:rsidRPr="00E42A54">
              <w:rPr>
                <w:color w:val="000000"/>
                <w:szCs w:val="24"/>
              </w:rPr>
              <w:t>0.16</w:t>
            </w:r>
          </w:p>
        </w:tc>
        <w:tc>
          <w:tcPr>
            <w:tcW w:w="960" w:type="dxa"/>
            <w:tcBorders>
              <w:top w:val="nil"/>
              <w:left w:val="nil"/>
              <w:bottom w:val="nil"/>
              <w:right w:val="nil"/>
            </w:tcBorders>
            <w:shd w:val="clear" w:color="auto" w:fill="auto"/>
            <w:noWrap/>
            <w:vAlign w:val="center"/>
            <w:hideMark/>
          </w:tcPr>
          <w:p w14:paraId="1BFD168C" w14:textId="77777777" w:rsidR="00112EDC" w:rsidRPr="00E42A54" w:rsidRDefault="00112EDC" w:rsidP="008679FF">
            <w:pPr>
              <w:pStyle w:val="NoSpacing"/>
              <w:rPr>
                <w:color w:val="000000"/>
                <w:szCs w:val="24"/>
              </w:rPr>
            </w:pPr>
            <w:r w:rsidRPr="00E42A54">
              <w:rPr>
                <w:color w:val="000000"/>
                <w:szCs w:val="24"/>
              </w:rPr>
              <w:t>2.51</w:t>
            </w:r>
          </w:p>
        </w:tc>
      </w:tr>
      <w:tr w:rsidR="00112EDC" w:rsidRPr="00112EDC" w14:paraId="7C09E755"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3576F5E3" w14:textId="77777777" w:rsidR="00112EDC" w:rsidRPr="00E42A54" w:rsidRDefault="00112EDC" w:rsidP="008679FF">
            <w:pPr>
              <w:pStyle w:val="NoSpacing"/>
              <w:rPr>
                <w:color w:val="000000"/>
                <w:szCs w:val="24"/>
              </w:rPr>
            </w:pPr>
            <w:r w:rsidRPr="00E42A54">
              <w:rPr>
                <w:color w:val="000000"/>
                <w:szCs w:val="24"/>
              </w:rPr>
              <w:t>2006</w:t>
            </w:r>
          </w:p>
        </w:tc>
        <w:tc>
          <w:tcPr>
            <w:tcW w:w="960" w:type="dxa"/>
            <w:tcBorders>
              <w:top w:val="nil"/>
              <w:left w:val="nil"/>
              <w:bottom w:val="nil"/>
              <w:right w:val="nil"/>
            </w:tcBorders>
            <w:shd w:val="clear" w:color="auto" w:fill="auto"/>
            <w:noWrap/>
            <w:vAlign w:val="center"/>
            <w:hideMark/>
          </w:tcPr>
          <w:p w14:paraId="2FC3CD8C"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nil"/>
              <w:left w:val="nil"/>
              <w:bottom w:val="nil"/>
              <w:right w:val="nil"/>
            </w:tcBorders>
            <w:shd w:val="clear" w:color="auto" w:fill="auto"/>
            <w:noWrap/>
            <w:vAlign w:val="center"/>
            <w:hideMark/>
          </w:tcPr>
          <w:p w14:paraId="05B143A9" w14:textId="77777777" w:rsidR="00112EDC" w:rsidRPr="00E42A54" w:rsidRDefault="00112EDC" w:rsidP="008679FF">
            <w:pPr>
              <w:pStyle w:val="NoSpacing"/>
              <w:rPr>
                <w:color w:val="000000"/>
                <w:szCs w:val="24"/>
              </w:rPr>
            </w:pPr>
            <w:r w:rsidRPr="00E42A54">
              <w:rPr>
                <w:color w:val="000000"/>
                <w:szCs w:val="24"/>
              </w:rPr>
              <w:t>13.82</w:t>
            </w:r>
          </w:p>
        </w:tc>
        <w:tc>
          <w:tcPr>
            <w:tcW w:w="848" w:type="dxa"/>
            <w:tcBorders>
              <w:top w:val="nil"/>
              <w:left w:val="nil"/>
              <w:bottom w:val="nil"/>
              <w:right w:val="nil"/>
            </w:tcBorders>
            <w:shd w:val="clear" w:color="auto" w:fill="auto"/>
            <w:noWrap/>
            <w:vAlign w:val="center"/>
            <w:hideMark/>
          </w:tcPr>
          <w:p w14:paraId="7C7D6F07" w14:textId="77777777" w:rsidR="00112EDC" w:rsidRPr="00E42A54" w:rsidRDefault="00112EDC" w:rsidP="008679FF">
            <w:pPr>
              <w:pStyle w:val="NoSpacing"/>
              <w:rPr>
                <w:color w:val="000000"/>
                <w:szCs w:val="24"/>
              </w:rPr>
            </w:pPr>
            <w:r w:rsidRPr="00E42A54">
              <w:rPr>
                <w:color w:val="000000"/>
                <w:szCs w:val="24"/>
              </w:rPr>
              <w:t>0.03</w:t>
            </w:r>
          </w:p>
        </w:tc>
        <w:tc>
          <w:tcPr>
            <w:tcW w:w="960" w:type="dxa"/>
            <w:tcBorders>
              <w:top w:val="nil"/>
              <w:left w:val="nil"/>
              <w:bottom w:val="nil"/>
              <w:right w:val="nil"/>
            </w:tcBorders>
            <w:shd w:val="clear" w:color="auto" w:fill="auto"/>
            <w:noWrap/>
            <w:vAlign w:val="center"/>
            <w:hideMark/>
          </w:tcPr>
          <w:p w14:paraId="73194811" w14:textId="77777777" w:rsidR="00112EDC" w:rsidRPr="00E42A54" w:rsidRDefault="00112EDC" w:rsidP="008679FF">
            <w:pPr>
              <w:pStyle w:val="NoSpacing"/>
              <w:rPr>
                <w:color w:val="000000"/>
                <w:szCs w:val="24"/>
              </w:rPr>
            </w:pPr>
            <w:r w:rsidRPr="00E42A54">
              <w:rPr>
                <w:color w:val="000000"/>
                <w:szCs w:val="24"/>
              </w:rPr>
              <w:t>0.21</w:t>
            </w:r>
          </w:p>
        </w:tc>
        <w:tc>
          <w:tcPr>
            <w:tcW w:w="960" w:type="dxa"/>
            <w:tcBorders>
              <w:top w:val="nil"/>
              <w:left w:val="nil"/>
              <w:bottom w:val="nil"/>
              <w:right w:val="nil"/>
            </w:tcBorders>
            <w:shd w:val="clear" w:color="auto" w:fill="auto"/>
            <w:noWrap/>
            <w:vAlign w:val="center"/>
            <w:hideMark/>
          </w:tcPr>
          <w:p w14:paraId="2BEE9D01" w14:textId="77777777" w:rsidR="00112EDC" w:rsidRPr="00E42A54" w:rsidRDefault="00112EDC" w:rsidP="008679FF">
            <w:pPr>
              <w:pStyle w:val="NoSpacing"/>
              <w:rPr>
                <w:color w:val="000000"/>
                <w:szCs w:val="24"/>
              </w:rPr>
            </w:pPr>
            <w:r w:rsidRPr="00E42A54">
              <w:rPr>
                <w:color w:val="000000"/>
                <w:szCs w:val="24"/>
              </w:rPr>
              <w:t>2.13</w:t>
            </w:r>
          </w:p>
        </w:tc>
      </w:tr>
      <w:tr w:rsidR="00112EDC" w:rsidRPr="00112EDC" w14:paraId="16B92F3F"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22FC9C05" w14:textId="77777777" w:rsidR="00112EDC" w:rsidRPr="00E42A54" w:rsidRDefault="00112EDC" w:rsidP="008679FF">
            <w:pPr>
              <w:pStyle w:val="NoSpacing"/>
              <w:rPr>
                <w:color w:val="000000"/>
                <w:szCs w:val="24"/>
              </w:rPr>
            </w:pPr>
            <w:r w:rsidRPr="00E42A54">
              <w:rPr>
                <w:color w:val="000000"/>
                <w:szCs w:val="24"/>
              </w:rPr>
              <w:t>2006</w:t>
            </w:r>
          </w:p>
        </w:tc>
        <w:tc>
          <w:tcPr>
            <w:tcW w:w="960" w:type="dxa"/>
            <w:tcBorders>
              <w:top w:val="nil"/>
              <w:left w:val="nil"/>
              <w:bottom w:val="nil"/>
              <w:right w:val="nil"/>
            </w:tcBorders>
            <w:shd w:val="clear" w:color="auto" w:fill="auto"/>
            <w:noWrap/>
            <w:vAlign w:val="center"/>
            <w:hideMark/>
          </w:tcPr>
          <w:p w14:paraId="4FFA3445"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4CB42DB5" w14:textId="77777777" w:rsidR="00112EDC" w:rsidRPr="00E42A54" w:rsidRDefault="00112EDC" w:rsidP="008679FF">
            <w:pPr>
              <w:pStyle w:val="NoSpacing"/>
              <w:rPr>
                <w:color w:val="000000"/>
                <w:szCs w:val="24"/>
              </w:rPr>
            </w:pPr>
            <w:r w:rsidRPr="00E42A54">
              <w:rPr>
                <w:color w:val="000000"/>
                <w:szCs w:val="24"/>
              </w:rPr>
              <w:t>12.33</w:t>
            </w:r>
          </w:p>
        </w:tc>
        <w:tc>
          <w:tcPr>
            <w:tcW w:w="848" w:type="dxa"/>
            <w:tcBorders>
              <w:top w:val="nil"/>
              <w:left w:val="nil"/>
              <w:bottom w:val="nil"/>
              <w:right w:val="nil"/>
            </w:tcBorders>
            <w:shd w:val="clear" w:color="auto" w:fill="auto"/>
            <w:noWrap/>
            <w:vAlign w:val="center"/>
            <w:hideMark/>
          </w:tcPr>
          <w:p w14:paraId="374A4F26" w14:textId="77777777" w:rsidR="00112EDC" w:rsidRPr="00E42A54" w:rsidRDefault="00112EDC" w:rsidP="008679FF">
            <w:pPr>
              <w:pStyle w:val="NoSpacing"/>
              <w:rPr>
                <w:color w:val="000000"/>
                <w:szCs w:val="24"/>
              </w:rPr>
            </w:pPr>
            <w:r w:rsidRPr="00E42A54">
              <w:rPr>
                <w:color w:val="000000"/>
                <w:szCs w:val="24"/>
              </w:rPr>
              <w:t>0.03</w:t>
            </w:r>
          </w:p>
        </w:tc>
        <w:tc>
          <w:tcPr>
            <w:tcW w:w="960" w:type="dxa"/>
            <w:tcBorders>
              <w:top w:val="nil"/>
              <w:left w:val="nil"/>
              <w:bottom w:val="nil"/>
              <w:right w:val="nil"/>
            </w:tcBorders>
            <w:shd w:val="clear" w:color="auto" w:fill="auto"/>
            <w:noWrap/>
            <w:vAlign w:val="center"/>
            <w:hideMark/>
          </w:tcPr>
          <w:p w14:paraId="38CB28D7" w14:textId="77777777" w:rsidR="00112EDC" w:rsidRPr="00E42A54" w:rsidRDefault="00112EDC" w:rsidP="008679FF">
            <w:pPr>
              <w:pStyle w:val="NoSpacing"/>
              <w:rPr>
                <w:color w:val="000000"/>
                <w:szCs w:val="24"/>
              </w:rPr>
            </w:pPr>
            <w:r w:rsidRPr="00E42A54">
              <w:rPr>
                <w:color w:val="000000"/>
                <w:szCs w:val="24"/>
              </w:rPr>
              <w:t>0.39</w:t>
            </w:r>
          </w:p>
        </w:tc>
        <w:tc>
          <w:tcPr>
            <w:tcW w:w="960" w:type="dxa"/>
            <w:tcBorders>
              <w:top w:val="nil"/>
              <w:left w:val="nil"/>
              <w:bottom w:val="nil"/>
              <w:right w:val="nil"/>
            </w:tcBorders>
            <w:shd w:val="clear" w:color="auto" w:fill="auto"/>
            <w:noWrap/>
            <w:vAlign w:val="center"/>
            <w:hideMark/>
          </w:tcPr>
          <w:p w14:paraId="64EA973F" w14:textId="77777777" w:rsidR="00112EDC" w:rsidRPr="00E42A54" w:rsidRDefault="00112EDC" w:rsidP="008679FF">
            <w:pPr>
              <w:pStyle w:val="NoSpacing"/>
              <w:rPr>
                <w:color w:val="000000"/>
                <w:szCs w:val="24"/>
              </w:rPr>
            </w:pPr>
            <w:r w:rsidRPr="00E42A54">
              <w:rPr>
                <w:color w:val="000000"/>
                <w:szCs w:val="24"/>
              </w:rPr>
              <w:t>1.42</w:t>
            </w:r>
          </w:p>
        </w:tc>
      </w:tr>
      <w:tr w:rsidR="00112EDC" w:rsidRPr="00112EDC" w14:paraId="3D8E54C5"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595631D1" w14:textId="77777777" w:rsidR="00112EDC" w:rsidRPr="00E42A54" w:rsidRDefault="00112EDC" w:rsidP="008679FF">
            <w:pPr>
              <w:pStyle w:val="NoSpacing"/>
              <w:rPr>
                <w:color w:val="000000"/>
                <w:szCs w:val="24"/>
              </w:rPr>
            </w:pPr>
            <w:r w:rsidRPr="00E42A54">
              <w:rPr>
                <w:color w:val="000000"/>
                <w:szCs w:val="24"/>
              </w:rPr>
              <w:t>2006</w:t>
            </w:r>
          </w:p>
        </w:tc>
        <w:tc>
          <w:tcPr>
            <w:tcW w:w="960" w:type="dxa"/>
            <w:tcBorders>
              <w:top w:val="nil"/>
              <w:left w:val="nil"/>
              <w:bottom w:val="nil"/>
              <w:right w:val="nil"/>
            </w:tcBorders>
            <w:shd w:val="clear" w:color="auto" w:fill="auto"/>
            <w:noWrap/>
            <w:vAlign w:val="center"/>
            <w:hideMark/>
          </w:tcPr>
          <w:p w14:paraId="5AC20607"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606E11FC" w14:textId="77777777" w:rsidR="00112EDC" w:rsidRPr="00E42A54" w:rsidRDefault="00112EDC" w:rsidP="008679FF">
            <w:pPr>
              <w:pStyle w:val="NoSpacing"/>
              <w:rPr>
                <w:color w:val="000000"/>
                <w:szCs w:val="24"/>
              </w:rPr>
            </w:pPr>
            <w:r w:rsidRPr="00E42A54">
              <w:rPr>
                <w:color w:val="000000"/>
                <w:szCs w:val="24"/>
              </w:rPr>
              <w:t>11.44</w:t>
            </w:r>
          </w:p>
        </w:tc>
        <w:tc>
          <w:tcPr>
            <w:tcW w:w="848" w:type="dxa"/>
            <w:tcBorders>
              <w:top w:val="nil"/>
              <w:left w:val="nil"/>
              <w:bottom w:val="nil"/>
              <w:right w:val="nil"/>
            </w:tcBorders>
            <w:shd w:val="clear" w:color="auto" w:fill="auto"/>
            <w:noWrap/>
            <w:vAlign w:val="center"/>
            <w:hideMark/>
          </w:tcPr>
          <w:p w14:paraId="79B4C969" w14:textId="77777777" w:rsidR="00112EDC" w:rsidRPr="00E42A54" w:rsidRDefault="00112EDC" w:rsidP="008679FF">
            <w:pPr>
              <w:pStyle w:val="NoSpacing"/>
              <w:rPr>
                <w:color w:val="000000"/>
                <w:szCs w:val="24"/>
              </w:rPr>
            </w:pPr>
            <w:r w:rsidRPr="00E42A54">
              <w:rPr>
                <w:color w:val="000000"/>
                <w:szCs w:val="24"/>
              </w:rPr>
              <w:t>0.03</w:t>
            </w:r>
          </w:p>
        </w:tc>
        <w:tc>
          <w:tcPr>
            <w:tcW w:w="960" w:type="dxa"/>
            <w:tcBorders>
              <w:top w:val="nil"/>
              <w:left w:val="nil"/>
              <w:bottom w:val="nil"/>
              <w:right w:val="nil"/>
            </w:tcBorders>
            <w:shd w:val="clear" w:color="auto" w:fill="auto"/>
            <w:noWrap/>
            <w:vAlign w:val="center"/>
            <w:hideMark/>
          </w:tcPr>
          <w:p w14:paraId="279FAB52" w14:textId="77777777" w:rsidR="00112EDC" w:rsidRPr="00E42A54" w:rsidRDefault="00112EDC" w:rsidP="008679FF">
            <w:pPr>
              <w:pStyle w:val="NoSpacing"/>
              <w:rPr>
                <w:color w:val="000000"/>
                <w:szCs w:val="24"/>
              </w:rPr>
            </w:pPr>
            <w:r w:rsidRPr="00E42A54">
              <w:rPr>
                <w:color w:val="000000"/>
                <w:szCs w:val="24"/>
              </w:rPr>
              <w:t>0.19</w:t>
            </w:r>
          </w:p>
        </w:tc>
        <w:tc>
          <w:tcPr>
            <w:tcW w:w="960" w:type="dxa"/>
            <w:tcBorders>
              <w:top w:val="nil"/>
              <w:left w:val="nil"/>
              <w:bottom w:val="nil"/>
              <w:right w:val="nil"/>
            </w:tcBorders>
            <w:shd w:val="clear" w:color="auto" w:fill="auto"/>
            <w:noWrap/>
            <w:vAlign w:val="center"/>
            <w:hideMark/>
          </w:tcPr>
          <w:p w14:paraId="337C2B1A" w14:textId="77777777" w:rsidR="00112EDC" w:rsidRPr="00E42A54" w:rsidRDefault="00112EDC" w:rsidP="008679FF">
            <w:pPr>
              <w:pStyle w:val="NoSpacing"/>
              <w:rPr>
                <w:color w:val="000000"/>
                <w:szCs w:val="24"/>
              </w:rPr>
            </w:pPr>
            <w:r w:rsidRPr="00E42A54">
              <w:rPr>
                <w:color w:val="000000"/>
                <w:szCs w:val="24"/>
              </w:rPr>
              <w:t>2.24</w:t>
            </w:r>
          </w:p>
        </w:tc>
      </w:tr>
      <w:tr w:rsidR="00112EDC" w:rsidRPr="00112EDC" w14:paraId="6E6FA728"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1856D89E" w14:textId="77777777" w:rsidR="00112EDC" w:rsidRPr="00E42A54" w:rsidRDefault="00112EDC" w:rsidP="008679FF">
            <w:pPr>
              <w:pStyle w:val="NoSpacing"/>
              <w:rPr>
                <w:color w:val="000000"/>
                <w:szCs w:val="24"/>
              </w:rPr>
            </w:pPr>
            <w:r w:rsidRPr="00E42A54">
              <w:rPr>
                <w:color w:val="000000"/>
                <w:szCs w:val="24"/>
              </w:rPr>
              <w:t>2006</w:t>
            </w:r>
          </w:p>
        </w:tc>
        <w:tc>
          <w:tcPr>
            <w:tcW w:w="960" w:type="dxa"/>
            <w:tcBorders>
              <w:top w:val="nil"/>
              <w:left w:val="nil"/>
              <w:bottom w:val="nil"/>
              <w:right w:val="nil"/>
            </w:tcBorders>
            <w:shd w:val="clear" w:color="auto" w:fill="auto"/>
            <w:noWrap/>
            <w:vAlign w:val="center"/>
            <w:hideMark/>
          </w:tcPr>
          <w:p w14:paraId="56C0F113"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42ED5146" w14:textId="77777777" w:rsidR="00112EDC" w:rsidRPr="00E42A54" w:rsidRDefault="00112EDC" w:rsidP="008679FF">
            <w:pPr>
              <w:pStyle w:val="NoSpacing"/>
              <w:rPr>
                <w:color w:val="000000"/>
                <w:szCs w:val="24"/>
              </w:rPr>
            </w:pPr>
            <w:r w:rsidRPr="00E42A54">
              <w:rPr>
                <w:color w:val="000000"/>
                <w:szCs w:val="24"/>
              </w:rPr>
              <w:t>10.91</w:t>
            </w:r>
          </w:p>
        </w:tc>
        <w:tc>
          <w:tcPr>
            <w:tcW w:w="848" w:type="dxa"/>
            <w:tcBorders>
              <w:top w:val="nil"/>
              <w:left w:val="nil"/>
              <w:bottom w:val="nil"/>
              <w:right w:val="nil"/>
            </w:tcBorders>
            <w:shd w:val="clear" w:color="auto" w:fill="auto"/>
            <w:noWrap/>
            <w:vAlign w:val="center"/>
            <w:hideMark/>
          </w:tcPr>
          <w:p w14:paraId="2553CF6F" w14:textId="77777777" w:rsidR="00112EDC" w:rsidRPr="00E42A54" w:rsidRDefault="00112EDC" w:rsidP="008679FF">
            <w:pPr>
              <w:pStyle w:val="NoSpacing"/>
              <w:rPr>
                <w:color w:val="000000"/>
                <w:szCs w:val="24"/>
              </w:rPr>
            </w:pPr>
            <w:r w:rsidRPr="00E42A54">
              <w:rPr>
                <w:color w:val="000000"/>
                <w:szCs w:val="24"/>
              </w:rPr>
              <w:t>0.03</w:t>
            </w:r>
          </w:p>
        </w:tc>
        <w:tc>
          <w:tcPr>
            <w:tcW w:w="960" w:type="dxa"/>
            <w:tcBorders>
              <w:top w:val="nil"/>
              <w:left w:val="nil"/>
              <w:bottom w:val="nil"/>
              <w:right w:val="nil"/>
            </w:tcBorders>
            <w:shd w:val="clear" w:color="auto" w:fill="auto"/>
            <w:noWrap/>
            <w:vAlign w:val="center"/>
            <w:hideMark/>
          </w:tcPr>
          <w:p w14:paraId="1B49A979" w14:textId="77777777" w:rsidR="00112EDC" w:rsidRPr="00E42A54" w:rsidRDefault="00112EDC" w:rsidP="008679FF">
            <w:pPr>
              <w:pStyle w:val="NoSpacing"/>
              <w:rPr>
                <w:color w:val="000000"/>
                <w:szCs w:val="24"/>
              </w:rPr>
            </w:pPr>
            <w:r w:rsidRPr="00E42A54">
              <w:rPr>
                <w:color w:val="000000"/>
                <w:szCs w:val="24"/>
              </w:rPr>
              <w:t>0.17</w:t>
            </w:r>
          </w:p>
        </w:tc>
        <w:tc>
          <w:tcPr>
            <w:tcW w:w="960" w:type="dxa"/>
            <w:tcBorders>
              <w:top w:val="nil"/>
              <w:left w:val="nil"/>
              <w:bottom w:val="nil"/>
              <w:right w:val="nil"/>
            </w:tcBorders>
            <w:shd w:val="clear" w:color="auto" w:fill="auto"/>
            <w:noWrap/>
            <w:vAlign w:val="center"/>
            <w:hideMark/>
          </w:tcPr>
          <w:p w14:paraId="73F739C1" w14:textId="77777777" w:rsidR="00112EDC" w:rsidRPr="00E42A54" w:rsidRDefault="00112EDC" w:rsidP="008679FF">
            <w:pPr>
              <w:pStyle w:val="NoSpacing"/>
              <w:rPr>
                <w:color w:val="000000"/>
                <w:szCs w:val="24"/>
              </w:rPr>
            </w:pPr>
            <w:r w:rsidRPr="00E42A54">
              <w:rPr>
                <w:color w:val="000000"/>
                <w:szCs w:val="24"/>
              </w:rPr>
              <w:t>2.41</w:t>
            </w:r>
          </w:p>
        </w:tc>
      </w:tr>
      <w:tr w:rsidR="00112EDC" w:rsidRPr="00112EDC" w14:paraId="1FA21B1E"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4C6CA816" w14:textId="77777777" w:rsidR="00112EDC" w:rsidRPr="00E42A54" w:rsidRDefault="00112EDC" w:rsidP="008679FF">
            <w:pPr>
              <w:pStyle w:val="NoSpacing"/>
              <w:rPr>
                <w:color w:val="000000"/>
                <w:szCs w:val="24"/>
              </w:rPr>
            </w:pPr>
            <w:r w:rsidRPr="00E42A54">
              <w:rPr>
                <w:color w:val="000000"/>
                <w:szCs w:val="24"/>
              </w:rPr>
              <w:t>2007</w:t>
            </w:r>
          </w:p>
        </w:tc>
        <w:tc>
          <w:tcPr>
            <w:tcW w:w="960" w:type="dxa"/>
            <w:tcBorders>
              <w:top w:val="nil"/>
              <w:left w:val="nil"/>
              <w:bottom w:val="nil"/>
              <w:right w:val="nil"/>
            </w:tcBorders>
            <w:shd w:val="clear" w:color="auto" w:fill="auto"/>
            <w:noWrap/>
            <w:vAlign w:val="center"/>
            <w:hideMark/>
          </w:tcPr>
          <w:p w14:paraId="7F7925E3"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nil"/>
              <w:left w:val="nil"/>
              <w:bottom w:val="nil"/>
              <w:right w:val="nil"/>
            </w:tcBorders>
            <w:shd w:val="clear" w:color="auto" w:fill="auto"/>
            <w:noWrap/>
            <w:vAlign w:val="center"/>
            <w:hideMark/>
          </w:tcPr>
          <w:p w14:paraId="65AF63C2" w14:textId="77777777" w:rsidR="00112EDC" w:rsidRPr="00E42A54" w:rsidRDefault="00112EDC" w:rsidP="008679FF">
            <w:pPr>
              <w:pStyle w:val="NoSpacing"/>
              <w:rPr>
                <w:color w:val="000000"/>
                <w:szCs w:val="24"/>
              </w:rPr>
            </w:pPr>
            <w:r w:rsidRPr="00E42A54">
              <w:rPr>
                <w:color w:val="000000"/>
                <w:szCs w:val="24"/>
              </w:rPr>
              <w:t>11.82</w:t>
            </w:r>
          </w:p>
        </w:tc>
        <w:tc>
          <w:tcPr>
            <w:tcW w:w="848" w:type="dxa"/>
            <w:tcBorders>
              <w:top w:val="nil"/>
              <w:left w:val="nil"/>
              <w:bottom w:val="nil"/>
              <w:right w:val="nil"/>
            </w:tcBorders>
            <w:shd w:val="clear" w:color="auto" w:fill="auto"/>
            <w:noWrap/>
            <w:vAlign w:val="center"/>
            <w:hideMark/>
          </w:tcPr>
          <w:p w14:paraId="1492F1B4" w14:textId="77777777" w:rsidR="00112EDC" w:rsidRPr="00E42A54" w:rsidRDefault="00112EDC" w:rsidP="008679FF">
            <w:pPr>
              <w:pStyle w:val="NoSpacing"/>
              <w:rPr>
                <w:color w:val="000000"/>
                <w:szCs w:val="24"/>
              </w:rPr>
            </w:pPr>
            <w:r w:rsidRPr="00E42A54">
              <w:rPr>
                <w:color w:val="000000"/>
                <w:szCs w:val="24"/>
              </w:rPr>
              <w:t>0.03</w:t>
            </w:r>
          </w:p>
        </w:tc>
        <w:tc>
          <w:tcPr>
            <w:tcW w:w="960" w:type="dxa"/>
            <w:tcBorders>
              <w:top w:val="nil"/>
              <w:left w:val="nil"/>
              <w:bottom w:val="nil"/>
              <w:right w:val="nil"/>
            </w:tcBorders>
            <w:shd w:val="clear" w:color="auto" w:fill="auto"/>
            <w:noWrap/>
            <w:vAlign w:val="center"/>
            <w:hideMark/>
          </w:tcPr>
          <w:p w14:paraId="644F5344" w14:textId="77777777" w:rsidR="00112EDC" w:rsidRPr="00E42A54" w:rsidRDefault="00112EDC" w:rsidP="008679FF">
            <w:pPr>
              <w:pStyle w:val="NoSpacing"/>
              <w:rPr>
                <w:color w:val="000000"/>
                <w:szCs w:val="24"/>
              </w:rPr>
            </w:pPr>
            <w:r w:rsidRPr="00E42A54">
              <w:rPr>
                <w:color w:val="000000"/>
                <w:szCs w:val="24"/>
              </w:rPr>
              <w:t>0.20</w:t>
            </w:r>
          </w:p>
        </w:tc>
        <w:tc>
          <w:tcPr>
            <w:tcW w:w="960" w:type="dxa"/>
            <w:tcBorders>
              <w:top w:val="nil"/>
              <w:left w:val="nil"/>
              <w:bottom w:val="nil"/>
              <w:right w:val="nil"/>
            </w:tcBorders>
            <w:shd w:val="clear" w:color="auto" w:fill="auto"/>
            <w:noWrap/>
            <w:vAlign w:val="center"/>
            <w:hideMark/>
          </w:tcPr>
          <w:p w14:paraId="523A3F7A" w14:textId="77777777" w:rsidR="00112EDC" w:rsidRPr="00E42A54" w:rsidRDefault="00112EDC" w:rsidP="008679FF">
            <w:pPr>
              <w:pStyle w:val="NoSpacing"/>
              <w:rPr>
                <w:color w:val="000000"/>
                <w:szCs w:val="24"/>
              </w:rPr>
            </w:pPr>
            <w:r w:rsidRPr="00E42A54">
              <w:rPr>
                <w:color w:val="000000"/>
                <w:szCs w:val="24"/>
              </w:rPr>
              <w:t>2.20</w:t>
            </w:r>
          </w:p>
        </w:tc>
      </w:tr>
      <w:tr w:rsidR="00112EDC" w:rsidRPr="00112EDC" w14:paraId="00432B3E"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28F701AD" w14:textId="77777777" w:rsidR="00112EDC" w:rsidRPr="00E42A54" w:rsidRDefault="00112EDC" w:rsidP="008679FF">
            <w:pPr>
              <w:pStyle w:val="NoSpacing"/>
              <w:rPr>
                <w:color w:val="000000"/>
                <w:szCs w:val="24"/>
              </w:rPr>
            </w:pPr>
            <w:r w:rsidRPr="00E42A54">
              <w:rPr>
                <w:color w:val="000000"/>
                <w:szCs w:val="24"/>
              </w:rPr>
              <w:t>2007</w:t>
            </w:r>
          </w:p>
        </w:tc>
        <w:tc>
          <w:tcPr>
            <w:tcW w:w="960" w:type="dxa"/>
            <w:tcBorders>
              <w:top w:val="nil"/>
              <w:left w:val="nil"/>
              <w:bottom w:val="nil"/>
              <w:right w:val="nil"/>
            </w:tcBorders>
            <w:shd w:val="clear" w:color="auto" w:fill="auto"/>
            <w:noWrap/>
            <w:vAlign w:val="center"/>
            <w:hideMark/>
          </w:tcPr>
          <w:p w14:paraId="27081108"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7B8228CF" w14:textId="77777777" w:rsidR="00112EDC" w:rsidRPr="00E42A54" w:rsidRDefault="00112EDC" w:rsidP="008679FF">
            <w:pPr>
              <w:pStyle w:val="NoSpacing"/>
              <w:rPr>
                <w:color w:val="000000"/>
                <w:szCs w:val="24"/>
              </w:rPr>
            </w:pPr>
            <w:r w:rsidRPr="00E42A54">
              <w:rPr>
                <w:color w:val="000000"/>
                <w:szCs w:val="24"/>
              </w:rPr>
              <w:t>10.56</w:t>
            </w:r>
          </w:p>
        </w:tc>
        <w:tc>
          <w:tcPr>
            <w:tcW w:w="848" w:type="dxa"/>
            <w:tcBorders>
              <w:top w:val="nil"/>
              <w:left w:val="nil"/>
              <w:bottom w:val="nil"/>
              <w:right w:val="nil"/>
            </w:tcBorders>
            <w:shd w:val="clear" w:color="auto" w:fill="auto"/>
            <w:noWrap/>
            <w:vAlign w:val="center"/>
            <w:hideMark/>
          </w:tcPr>
          <w:p w14:paraId="4B648349" w14:textId="77777777" w:rsidR="00112EDC" w:rsidRPr="00E42A54" w:rsidRDefault="00112EDC" w:rsidP="008679FF">
            <w:pPr>
              <w:pStyle w:val="NoSpacing"/>
              <w:rPr>
                <w:color w:val="000000"/>
                <w:szCs w:val="24"/>
              </w:rPr>
            </w:pPr>
            <w:r w:rsidRPr="00E42A54">
              <w:rPr>
                <w:color w:val="000000"/>
                <w:szCs w:val="24"/>
              </w:rPr>
              <w:t>0.03</w:t>
            </w:r>
          </w:p>
        </w:tc>
        <w:tc>
          <w:tcPr>
            <w:tcW w:w="960" w:type="dxa"/>
            <w:tcBorders>
              <w:top w:val="nil"/>
              <w:left w:val="nil"/>
              <w:bottom w:val="nil"/>
              <w:right w:val="nil"/>
            </w:tcBorders>
            <w:shd w:val="clear" w:color="auto" w:fill="auto"/>
            <w:noWrap/>
            <w:vAlign w:val="center"/>
            <w:hideMark/>
          </w:tcPr>
          <w:p w14:paraId="6A0D6B8C" w14:textId="77777777" w:rsidR="00112EDC" w:rsidRPr="00E42A54" w:rsidRDefault="00112EDC" w:rsidP="008679FF">
            <w:pPr>
              <w:pStyle w:val="NoSpacing"/>
              <w:rPr>
                <w:color w:val="000000"/>
                <w:szCs w:val="24"/>
              </w:rPr>
            </w:pPr>
            <w:r w:rsidRPr="00E42A54">
              <w:rPr>
                <w:color w:val="000000"/>
                <w:szCs w:val="24"/>
              </w:rPr>
              <w:t>0.37</w:t>
            </w:r>
          </w:p>
        </w:tc>
        <w:tc>
          <w:tcPr>
            <w:tcW w:w="960" w:type="dxa"/>
            <w:tcBorders>
              <w:top w:val="nil"/>
              <w:left w:val="nil"/>
              <w:bottom w:val="nil"/>
              <w:right w:val="nil"/>
            </w:tcBorders>
            <w:shd w:val="clear" w:color="auto" w:fill="auto"/>
            <w:noWrap/>
            <w:vAlign w:val="center"/>
            <w:hideMark/>
          </w:tcPr>
          <w:p w14:paraId="1FE3C682" w14:textId="77777777" w:rsidR="00112EDC" w:rsidRPr="00E42A54" w:rsidRDefault="00112EDC" w:rsidP="008679FF">
            <w:pPr>
              <w:pStyle w:val="NoSpacing"/>
              <w:rPr>
                <w:color w:val="000000"/>
                <w:szCs w:val="24"/>
              </w:rPr>
            </w:pPr>
            <w:r w:rsidRPr="00E42A54">
              <w:rPr>
                <w:color w:val="000000"/>
                <w:szCs w:val="24"/>
              </w:rPr>
              <w:t>1.46</w:t>
            </w:r>
          </w:p>
        </w:tc>
      </w:tr>
      <w:tr w:rsidR="00112EDC" w:rsidRPr="00112EDC" w14:paraId="1DCFA61A"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2BDE9DFA" w14:textId="77777777" w:rsidR="00112EDC" w:rsidRPr="00E42A54" w:rsidRDefault="00112EDC" w:rsidP="008679FF">
            <w:pPr>
              <w:pStyle w:val="NoSpacing"/>
              <w:rPr>
                <w:color w:val="000000"/>
                <w:szCs w:val="24"/>
              </w:rPr>
            </w:pPr>
            <w:r w:rsidRPr="00E42A54">
              <w:rPr>
                <w:color w:val="000000"/>
                <w:szCs w:val="24"/>
              </w:rPr>
              <w:t>2007</w:t>
            </w:r>
          </w:p>
        </w:tc>
        <w:tc>
          <w:tcPr>
            <w:tcW w:w="960" w:type="dxa"/>
            <w:tcBorders>
              <w:top w:val="nil"/>
              <w:left w:val="nil"/>
              <w:bottom w:val="nil"/>
              <w:right w:val="nil"/>
            </w:tcBorders>
            <w:shd w:val="clear" w:color="auto" w:fill="auto"/>
            <w:noWrap/>
            <w:vAlign w:val="center"/>
            <w:hideMark/>
          </w:tcPr>
          <w:p w14:paraId="165F38FF"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5E1A40D6" w14:textId="77777777" w:rsidR="00112EDC" w:rsidRPr="00E42A54" w:rsidRDefault="00112EDC" w:rsidP="008679FF">
            <w:pPr>
              <w:pStyle w:val="NoSpacing"/>
              <w:rPr>
                <w:color w:val="000000"/>
                <w:szCs w:val="24"/>
              </w:rPr>
            </w:pPr>
            <w:r w:rsidRPr="00E42A54">
              <w:rPr>
                <w:color w:val="000000"/>
                <w:szCs w:val="24"/>
              </w:rPr>
              <w:t>9.79</w:t>
            </w:r>
          </w:p>
        </w:tc>
        <w:tc>
          <w:tcPr>
            <w:tcW w:w="848" w:type="dxa"/>
            <w:tcBorders>
              <w:top w:val="nil"/>
              <w:left w:val="nil"/>
              <w:bottom w:val="nil"/>
              <w:right w:val="nil"/>
            </w:tcBorders>
            <w:shd w:val="clear" w:color="auto" w:fill="auto"/>
            <w:noWrap/>
            <w:vAlign w:val="center"/>
            <w:hideMark/>
          </w:tcPr>
          <w:p w14:paraId="30364668"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2D37D681" w14:textId="77777777" w:rsidR="00112EDC" w:rsidRPr="00E42A54" w:rsidRDefault="00112EDC" w:rsidP="008679FF">
            <w:pPr>
              <w:pStyle w:val="NoSpacing"/>
              <w:rPr>
                <w:color w:val="000000"/>
                <w:szCs w:val="24"/>
              </w:rPr>
            </w:pPr>
            <w:r w:rsidRPr="00E42A54">
              <w:rPr>
                <w:color w:val="000000"/>
                <w:szCs w:val="24"/>
              </w:rPr>
              <w:t>0.18</w:t>
            </w:r>
          </w:p>
        </w:tc>
        <w:tc>
          <w:tcPr>
            <w:tcW w:w="960" w:type="dxa"/>
            <w:tcBorders>
              <w:top w:val="nil"/>
              <w:left w:val="nil"/>
              <w:bottom w:val="nil"/>
              <w:right w:val="nil"/>
            </w:tcBorders>
            <w:shd w:val="clear" w:color="auto" w:fill="auto"/>
            <w:noWrap/>
            <w:vAlign w:val="center"/>
            <w:hideMark/>
          </w:tcPr>
          <w:p w14:paraId="522CDAB8" w14:textId="77777777" w:rsidR="00112EDC" w:rsidRPr="00E42A54" w:rsidRDefault="00112EDC" w:rsidP="008679FF">
            <w:pPr>
              <w:pStyle w:val="NoSpacing"/>
              <w:rPr>
                <w:color w:val="000000"/>
                <w:szCs w:val="24"/>
              </w:rPr>
            </w:pPr>
            <w:r w:rsidRPr="00E42A54">
              <w:rPr>
                <w:color w:val="000000"/>
                <w:szCs w:val="24"/>
              </w:rPr>
              <w:t>2.32</w:t>
            </w:r>
          </w:p>
        </w:tc>
      </w:tr>
      <w:tr w:rsidR="00112EDC" w:rsidRPr="00112EDC" w14:paraId="46CC625A"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42240471" w14:textId="77777777" w:rsidR="00112EDC" w:rsidRPr="00E42A54" w:rsidRDefault="00112EDC" w:rsidP="008679FF">
            <w:pPr>
              <w:pStyle w:val="NoSpacing"/>
              <w:rPr>
                <w:color w:val="000000"/>
                <w:szCs w:val="24"/>
              </w:rPr>
            </w:pPr>
            <w:r w:rsidRPr="00E42A54">
              <w:rPr>
                <w:color w:val="000000"/>
                <w:szCs w:val="24"/>
              </w:rPr>
              <w:t>2007</w:t>
            </w:r>
          </w:p>
        </w:tc>
        <w:tc>
          <w:tcPr>
            <w:tcW w:w="960" w:type="dxa"/>
            <w:tcBorders>
              <w:top w:val="nil"/>
              <w:left w:val="nil"/>
              <w:bottom w:val="nil"/>
              <w:right w:val="nil"/>
            </w:tcBorders>
            <w:shd w:val="clear" w:color="auto" w:fill="auto"/>
            <w:noWrap/>
            <w:vAlign w:val="center"/>
            <w:hideMark/>
          </w:tcPr>
          <w:p w14:paraId="7ACB4A73"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63F41117" w14:textId="77777777" w:rsidR="00112EDC" w:rsidRPr="00E42A54" w:rsidRDefault="00112EDC" w:rsidP="008679FF">
            <w:pPr>
              <w:pStyle w:val="NoSpacing"/>
              <w:rPr>
                <w:color w:val="000000"/>
                <w:szCs w:val="24"/>
              </w:rPr>
            </w:pPr>
            <w:r w:rsidRPr="00E42A54">
              <w:rPr>
                <w:color w:val="000000"/>
                <w:szCs w:val="24"/>
              </w:rPr>
              <w:t>9.34</w:t>
            </w:r>
          </w:p>
        </w:tc>
        <w:tc>
          <w:tcPr>
            <w:tcW w:w="848" w:type="dxa"/>
            <w:tcBorders>
              <w:top w:val="nil"/>
              <w:left w:val="nil"/>
              <w:bottom w:val="nil"/>
              <w:right w:val="nil"/>
            </w:tcBorders>
            <w:shd w:val="clear" w:color="auto" w:fill="auto"/>
            <w:noWrap/>
            <w:vAlign w:val="center"/>
            <w:hideMark/>
          </w:tcPr>
          <w:p w14:paraId="25408E2D"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389B20A0" w14:textId="77777777" w:rsidR="00112EDC" w:rsidRPr="00E42A54" w:rsidRDefault="00112EDC" w:rsidP="008679FF">
            <w:pPr>
              <w:pStyle w:val="NoSpacing"/>
              <w:rPr>
                <w:color w:val="000000"/>
                <w:szCs w:val="24"/>
              </w:rPr>
            </w:pPr>
            <w:r w:rsidRPr="00E42A54">
              <w:rPr>
                <w:color w:val="000000"/>
                <w:szCs w:val="24"/>
              </w:rPr>
              <w:t>0.16</w:t>
            </w:r>
          </w:p>
        </w:tc>
        <w:tc>
          <w:tcPr>
            <w:tcW w:w="960" w:type="dxa"/>
            <w:tcBorders>
              <w:top w:val="nil"/>
              <w:left w:val="nil"/>
              <w:bottom w:val="nil"/>
              <w:right w:val="nil"/>
            </w:tcBorders>
            <w:shd w:val="clear" w:color="auto" w:fill="auto"/>
            <w:noWrap/>
            <w:vAlign w:val="center"/>
            <w:hideMark/>
          </w:tcPr>
          <w:p w14:paraId="323F7085" w14:textId="77777777" w:rsidR="00112EDC" w:rsidRPr="00E42A54" w:rsidRDefault="00112EDC" w:rsidP="008679FF">
            <w:pPr>
              <w:pStyle w:val="NoSpacing"/>
              <w:rPr>
                <w:color w:val="000000"/>
                <w:szCs w:val="24"/>
              </w:rPr>
            </w:pPr>
            <w:r w:rsidRPr="00E42A54">
              <w:rPr>
                <w:color w:val="000000"/>
                <w:szCs w:val="24"/>
              </w:rPr>
              <w:t>2.50</w:t>
            </w:r>
          </w:p>
        </w:tc>
      </w:tr>
      <w:tr w:rsidR="00112EDC" w:rsidRPr="00112EDC" w14:paraId="6E453744"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29E5EDD7" w14:textId="77777777" w:rsidR="00112EDC" w:rsidRPr="00E42A54" w:rsidRDefault="00112EDC" w:rsidP="008679FF">
            <w:pPr>
              <w:pStyle w:val="NoSpacing"/>
              <w:rPr>
                <w:color w:val="000000"/>
                <w:szCs w:val="24"/>
              </w:rPr>
            </w:pPr>
            <w:r w:rsidRPr="00E42A54">
              <w:rPr>
                <w:color w:val="000000"/>
                <w:szCs w:val="24"/>
              </w:rPr>
              <w:t>2008</w:t>
            </w:r>
          </w:p>
        </w:tc>
        <w:tc>
          <w:tcPr>
            <w:tcW w:w="960" w:type="dxa"/>
            <w:tcBorders>
              <w:top w:val="nil"/>
              <w:left w:val="nil"/>
              <w:bottom w:val="nil"/>
              <w:right w:val="nil"/>
            </w:tcBorders>
            <w:shd w:val="clear" w:color="auto" w:fill="auto"/>
            <w:noWrap/>
            <w:vAlign w:val="center"/>
            <w:hideMark/>
          </w:tcPr>
          <w:p w14:paraId="74E20E18"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nil"/>
              <w:left w:val="nil"/>
              <w:bottom w:val="nil"/>
              <w:right w:val="nil"/>
            </w:tcBorders>
            <w:shd w:val="clear" w:color="auto" w:fill="auto"/>
            <w:noWrap/>
            <w:vAlign w:val="center"/>
            <w:hideMark/>
          </w:tcPr>
          <w:p w14:paraId="1F43A961" w14:textId="77777777" w:rsidR="00112EDC" w:rsidRPr="00E42A54" w:rsidRDefault="00112EDC" w:rsidP="008679FF">
            <w:pPr>
              <w:pStyle w:val="NoSpacing"/>
              <w:rPr>
                <w:color w:val="000000"/>
                <w:szCs w:val="24"/>
              </w:rPr>
            </w:pPr>
            <w:r w:rsidRPr="00E42A54">
              <w:rPr>
                <w:color w:val="000000"/>
                <w:szCs w:val="24"/>
              </w:rPr>
              <w:t>11.63</w:t>
            </w:r>
          </w:p>
        </w:tc>
        <w:tc>
          <w:tcPr>
            <w:tcW w:w="848" w:type="dxa"/>
            <w:tcBorders>
              <w:top w:val="nil"/>
              <w:left w:val="nil"/>
              <w:bottom w:val="nil"/>
              <w:right w:val="nil"/>
            </w:tcBorders>
            <w:shd w:val="clear" w:color="auto" w:fill="auto"/>
            <w:noWrap/>
            <w:vAlign w:val="center"/>
            <w:hideMark/>
          </w:tcPr>
          <w:p w14:paraId="01C5AF0E" w14:textId="77777777" w:rsidR="00112EDC" w:rsidRPr="00E42A54" w:rsidRDefault="00112EDC" w:rsidP="008679FF">
            <w:pPr>
              <w:pStyle w:val="NoSpacing"/>
              <w:rPr>
                <w:color w:val="000000"/>
                <w:szCs w:val="24"/>
              </w:rPr>
            </w:pPr>
            <w:r w:rsidRPr="00E42A54">
              <w:rPr>
                <w:color w:val="000000"/>
                <w:szCs w:val="24"/>
              </w:rPr>
              <w:t>0.03</w:t>
            </w:r>
          </w:p>
        </w:tc>
        <w:tc>
          <w:tcPr>
            <w:tcW w:w="960" w:type="dxa"/>
            <w:tcBorders>
              <w:top w:val="nil"/>
              <w:left w:val="nil"/>
              <w:bottom w:val="nil"/>
              <w:right w:val="nil"/>
            </w:tcBorders>
            <w:shd w:val="clear" w:color="auto" w:fill="auto"/>
            <w:noWrap/>
            <w:vAlign w:val="center"/>
            <w:hideMark/>
          </w:tcPr>
          <w:p w14:paraId="17D96423" w14:textId="77777777" w:rsidR="00112EDC" w:rsidRPr="00E42A54" w:rsidRDefault="00112EDC" w:rsidP="008679FF">
            <w:pPr>
              <w:pStyle w:val="NoSpacing"/>
              <w:rPr>
                <w:color w:val="000000"/>
                <w:szCs w:val="24"/>
              </w:rPr>
            </w:pPr>
            <w:r w:rsidRPr="00E42A54">
              <w:rPr>
                <w:color w:val="000000"/>
                <w:szCs w:val="24"/>
              </w:rPr>
              <w:t>0.20</w:t>
            </w:r>
          </w:p>
        </w:tc>
        <w:tc>
          <w:tcPr>
            <w:tcW w:w="960" w:type="dxa"/>
            <w:tcBorders>
              <w:top w:val="nil"/>
              <w:left w:val="nil"/>
              <w:bottom w:val="nil"/>
              <w:right w:val="nil"/>
            </w:tcBorders>
            <w:shd w:val="clear" w:color="auto" w:fill="auto"/>
            <w:noWrap/>
            <w:vAlign w:val="center"/>
            <w:hideMark/>
          </w:tcPr>
          <w:p w14:paraId="09E3411A" w14:textId="77777777" w:rsidR="00112EDC" w:rsidRPr="00E42A54" w:rsidRDefault="00112EDC" w:rsidP="008679FF">
            <w:pPr>
              <w:pStyle w:val="NoSpacing"/>
              <w:rPr>
                <w:color w:val="000000"/>
                <w:szCs w:val="24"/>
              </w:rPr>
            </w:pPr>
            <w:r w:rsidRPr="00E42A54">
              <w:rPr>
                <w:color w:val="000000"/>
                <w:szCs w:val="24"/>
              </w:rPr>
              <w:t>2.24</w:t>
            </w:r>
          </w:p>
        </w:tc>
      </w:tr>
      <w:tr w:rsidR="00112EDC" w:rsidRPr="00112EDC" w14:paraId="50FC6DC0"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70662E13" w14:textId="77777777" w:rsidR="00112EDC" w:rsidRPr="00E42A54" w:rsidRDefault="00112EDC" w:rsidP="008679FF">
            <w:pPr>
              <w:pStyle w:val="NoSpacing"/>
              <w:rPr>
                <w:color w:val="000000"/>
                <w:szCs w:val="24"/>
              </w:rPr>
            </w:pPr>
            <w:r w:rsidRPr="00E42A54">
              <w:rPr>
                <w:color w:val="000000"/>
                <w:szCs w:val="24"/>
              </w:rPr>
              <w:t>2008</w:t>
            </w:r>
          </w:p>
        </w:tc>
        <w:tc>
          <w:tcPr>
            <w:tcW w:w="960" w:type="dxa"/>
            <w:tcBorders>
              <w:top w:val="nil"/>
              <w:left w:val="nil"/>
              <w:bottom w:val="nil"/>
              <w:right w:val="nil"/>
            </w:tcBorders>
            <w:shd w:val="clear" w:color="auto" w:fill="auto"/>
            <w:noWrap/>
            <w:vAlign w:val="center"/>
            <w:hideMark/>
          </w:tcPr>
          <w:p w14:paraId="1B029135"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4C894CEF" w14:textId="77777777" w:rsidR="00112EDC" w:rsidRPr="00E42A54" w:rsidRDefault="00112EDC" w:rsidP="008679FF">
            <w:pPr>
              <w:pStyle w:val="NoSpacing"/>
              <w:rPr>
                <w:color w:val="000000"/>
                <w:szCs w:val="24"/>
              </w:rPr>
            </w:pPr>
            <w:r w:rsidRPr="00E42A54">
              <w:rPr>
                <w:color w:val="000000"/>
                <w:szCs w:val="24"/>
              </w:rPr>
              <w:t>10.38</w:t>
            </w:r>
          </w:p>
        </w:tc>
        <w:tc>
          <w:tcPr>
            <w:tcW w:w="848" w:type="dxa"/>
            <w:tcBorders>
              <w:top w:val="nil"/>
              <w:left w:val="nil"/>
              <w:bottom w:val="nil"/>
              <w:right w:val="nil"/>
            </w:tcBorders>
            <w:shd w:val="clear" w:color="auto" w:fill="auto"/>
            <w:noWrap/>
            <w:vAlign w:val="center"/>
            <w:hideMark/>
          </w:tcPr>
          <w:p w14:paraId="4A594CE2"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5EE74EB2" w14:textId="77777777" w:rsidR="00112EDC" w:rsidRPr="00E42A54" w:rsidRDefault="00112EDC" w:rsidP="008679FF">
            <w:pPr>
              <w:pStyle w:val="NoSpacing"/>
              <w:rPr>
                <w:color w:val="000000"/>
                <w:szCs w:val="24"/>
              </w:rPr>
            </w:pPr>
            <w:r w:rsidRPr="00E42A54">
              <w:rPr>
                <w:color w:val="000000"/>
                <w:szCs w:val="24"/>
              </w:rPr>
              <w:t>0.36</w:t>
            </w:r>
          </w:p>
        </w:tc>
        <w:tc>
          <w:tcPr>
            <w:tcW w:w="960" w:type="dxa"/>
            <w:tcBorders>
              <w:top w:val="nil"/>
              <w:left w:val="nil"/>
              <w:bottom w:val="nil"/>
              <w:right w:val="nil"/>
            </w:tcBorders>
            <w:shd w:val="clear" w:color="auto" w:fill="auto"/>
            <w:noWrap/>
            <w:vAlign w:val="center"/>
            <w:hideMark/>
          </w:tcPr>
          <w:p w14:paraId="6AC2DF46" w14:textId="77777777" w:rsidR="00112EDC" w:rsidRPr="00E42A54" w:rsidRDefault="00112EDC" w:rsidP="008679FF">
            <w:pPr>
              <w:pStyle w:val="NoSpacing"/>
              <w:rPr>
                <w:color w:val="000000"/>
                <w:szCs w:val="24"/>
              </w:rPr>
            </w:pPr>
            <w:r w:rsidRPr="00E42A54">
              <w:rPr>
                <w:color w:val="000000"/>
                <w:szCs w:val="24"/>
              </w:rPr>
              <w:t>1.49</w:t>
            </w:r>
          </w:p>
        </w:tc>
      </w:tr>
      <w:tr w:rsidR="00112EDC" w:rsidRPr="00112EDC" w14:paraId="53D7A7B8"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7F0B391C" w14:textId="77777777" w:rsidR="00112EDC" w:rsidRPr="00E42A54" w:rsidRDefault="00112EDC" w:rsidP="008679FF">
            <w:pPr>
              <w:pStyle w:val="NoSpacing"/>
              <w:rPr>
                <w:color w:val="000000"/>
                <w:szCs w:val="24"/>
              </w:rPr>
            </w:pPr>
            <w:r w:rsidRPr="00E42A54">
              <w:rPr>
                <w:color w:val="000000"/>
                <w:szCs w:val="24"/>
              </w:rPr>
              <w:t>2008</w:t>
            </w:r>
          </w:p>
        </w:tc>
        <w:tc>
          <w:tcPr>
            <w:tcW w:w="960" w:type="dxa"/>
            <w:tcBorders>
              <w:top w:val="nil"/>
              <w:left w:val="nil"/>
              <w:bottom w:val="nil"/>
              <w:right w:val="nil"/>
            </w:tcBorders>
            <w:shd w:val="clear" w:color="auto" w:fill="auto"/>
            <w:noWrap/>
            <w:vAlign w:val="center"/>
            <w:hideMark/>
          </w:tcPr>
          <w:p w14:paraId="6C9AE99F"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0E015BBF" w14:textId="77777777" w:rsidR="00112EDC" w:rsidRPr="00E42A54" w:rsidRDefault="00112EDC" w:rsidP="008679FF">
            <w:pPr>
              <w:pStyle w:val="NoSpacing"/>
              <w:rPr>
                <w:color w:val="000000"/>
                <w:szCs w:val="24"/>
              </w:rPr>
            </w:pPr>
            <w:r w:rsidRPr="00E42A54">
              <w:rPr>
                <w:color w:val="000000"/>
                <w:szCs w:val="24"/>
              </w:rPr>
              <w:t>9.63</w:t>
            </w:r>
          </w:p>
        </w:tc>
        <w:tc>
          <w:tcPr>
            <w:tcW w:w="848" w:type="dxa"/>
            <w:tcBorders>
              <w:top w:val="nil"/>
              <w:left w:val="nil"/>
              <w:bottom w:val="nil"/>
              <w:right w:val="nil"/>
            </w:tcBorders>
            <w:shd w:val="clear" w:color="auto" w:fill="auto"/>
            <w:noWrap/>
            <w:vAlign w:val="center"/>
            <w:hideMark/>
          </w:tcPr>
          <w:p w14:paraId="65295FEA"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7F517051" w14:textId="77777777" w:rsidR="00112EDC" w:rsidRPr="00E42A54" w:rsidRDefault="00112EDC" w:rsidP="008679FF">
            <w:pPr>
              <w:pStyle w:val="NoSpacing"/>
              <w:rPr>
                <w:color w:val="000000"/>
                <w:szCs w:val="24"/>
              </w:rPr>
            </w:pPr>
            <w:r w:rsidRPr="00E42A54">
              <w:rPr>
                <w:color w:val="000000"/>
                <w:szCs w:val="24"/>
              </w:rPr>
              <w:t>0.18</w:t>
            </w:r>
          </w:p>
        </w:tc>
        <w:tc>
          <w:tcPr>
            <w:tcW w:w="960" w:type="dxa"/>
            <w:tcBorders>
              <w:top w:val="nil"/>
              <w:left w:val="nil"/>
              <w:bottom w:val="nil"/>
              <w:right w:val="nil"/>
            </w:tcBorders>
            <w:shd w:val="clear" w:color="auto" w:fill="auto"/>
            <w:noWrap/>
            <w:vAlign w:val="center"/>
            <w:hideMark/>
          </w:tcPr>
          <w:p w14:paraId="724ECB3C" w14:textId="77777777" w:rsidR="00112EDC" w:rsidRPr="00E42A54" w:rsidRDefault="00112EDC" w:rsidP="008679FF">
            <w:pPr>
              <w:pStyle w:val="NoSpacing"/>
              <w:rPr>
                <w:color w:val="000000"/>
                <w:szCs w:val="24"/>
              </w:rPr>
            </w:pPr>
            <w:r w:rsidRPr="00E42A54">
              <w:rPr>
                <w:color w:val="000000"/>
                <w:szCs w:val="24"/>
              </w:rPr>
              <w:t>2.37</w:t>
            </w:r>
          </w:p>
        </w:tc>
      </w:tr>
      <w:tr w:rsidR="00112EDC" w:rsidRPr="00112EDC" w14:paraId="03A69867"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134A1F7A" w14:textId="77777777" w:rsidR="00112EDC" w:rsidRPr="00E42A54" w:rsidRDefault="00112EDC" w:rsidP="008679FF">
            <w:pPr>
              <w:pStyle w:val="NoSpacing"/>
              <w:rPr>
                <w:color w:val="000000"/>
                <w:szCs w:val="24"/>
              </w:rPr>
            </w:pPr>
            <w:r w:rsidRPr="00E42A54">
              <w:rPr>
                <w:color w:val="000000"/>
                <w:szCs w:val="24"/>
              </w:rPr>
              <w:t>2008</w:t>
            </w:r>
          </w:p>
        </w:tc>
        <w:tc>
          <w:tcPr>
            <w:tcW w:w="960" w:type="dxa"/>
            <w:tcBorders>
              <w:top w:val="nil"/>
              <w:left w:val="nil"/>
              <w:bottom w:val="nil"/>
              <w:right w:val="nil"/>
            </w:tcBorders>
            <w:shd w:val="clear" w:color="auto" w:fill="auto"/>
            <w:noWrap/>
            <w:vAlign w:val="center"/>
            <w:hideMark/>
          </w:tcPr>
          <w:p w14:paraId="1DA658CC"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11A95CE9" w14:textId="77777777" w:rsidR="00112EDC" w:rsidRPr="00E42A54" w:rsidRDefault="00112EDC" w:rsidP="008679FF">
            <w:pPr>
              <w:pStyle w:val="NoSpacing"/>
              <w:rPr>
                <w:color w:val="000000"/>
                <w:szCs w:val="24"/>
              </w:rPr>
            </w:pPr>
            <w:r w:rsidRPr="00E42A54">
              <w:rPr>
                <w:color w:val="000000"/>
                <w:szCs w:val="24"/>
              </w:rPr>
              <w:t>9.19</w:t>
            </w:r>
          </w:p>
        </w:tc>
        <w:tc>
          <w:tcPr>
            <w:tcW w:w="848" w:type="dxa"/>
            <w:tcBorders>
              <w:top w:val="nil"/>
              <w:left w:val="nil"/>
              <w:bottom w:val="nil"/>
              <w:right w:val="nil"/>
            </w:tcBorders>
            <w:shd w:val="clear" w:color="auto" w:fill="auto"/>
            <w:noWrap/>
            <w:vAlign w:val="center"/>
            <w:hideMark/>
          </w:tcPr>
          <w:p w14:paraId="295DFF1C"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16108BF3" w14:textId="77777777" w:rsidR="00112EDC" w:rsidRPr="00E42A54" w:rsidRDefault="00112EDC" w:rsidP="008679FF">
            <w:pPr>
              <w:pStyle w:val="NoSpacing"/>
              <w:rPr>
                <w:color w:val="000000"/>
                <w:szCs w:val="24"/>
              </w:rPr>
            </w:pPr>
            <w:r w:rsidRPr="00E42A54">
              <w:rPr>
                <w:color w:val="000000"/>
                <w:szCs w:val="24"/>
              </w:rPr>
              <w:t>0.16</w:t>
            </w:r>
          </w:p>
        </w:tc>
        <w:tc>
          <w:tcPr>
            <w:tcW w:w="960" w:type="dxa"/>
            <w:tcBorders>
              <w:top w:val="nil"/>
              <w:left w:val="nil"/>
              <w:bottom w:val="nil"/>
              <w:right w:val="nil"/>
            </w:tcBorders>
            <w:shd w:val="clear" w:color="auto" w:fill="auto"/>
            <w:noWrap/>
            <w:vAlign w:val="center"/>
            <w:hideMark/>
          </w:tcPr>
          <w:p w14:paraId="13D5944A" w14:textId="77777777" w:rsidR="00112EDC" w:rsidRPr="00E42A54" w:rsidRDefault="00112EDC" w:rsidP="008679FF">
            <w:pPr>
              <w:pStyle w:val="NoSpacing"/>
              <w:rPr>
                <w:color w:val="000000"/>
                <w:szCs w:val="24"/>
              </w:rPr>
            </w:pPr>
            <w:r w:rsidRPr="00E42A54">
              <w:rPr>
                <w:color w:val="000000"/>
                <w:szCs w:val="24"/>
              </w:rPr>
              <w:t>2.54</w:t>
            </w:r>
          </w:p>
        </w:tc>
      </w:tr>
      <w:tr w:rsidR="00112EDC" w:rsidRPr="00112EDC" w14:paraId="40BCC2A6"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29315FC4" w14:textId="77777777" w:rsidR="00112EDC" w:rsidRPr="00E42A54" w:rsidRDefault="00112EDC" w:rsidP="008679FF">
            <w:pPr>
              <w:pStyle w:val="NoSpacing"/>
              <w:rPr>
                <w:color w:val="000000"/>
                <w:szCs w:val="24"/>
              </w:rPr>
            </w:pPr>
            <w:r w:rsidRPr="00E42A54">
              <w:rPr>
                <w:color w:val="000000"/>
                <w:szCs w:val="24"/>
              </w:rPr>
              <w:t>2009</w:t>
            </w:r>
          </w:p>
        </w:tc>
        <w:tc>
          <w:tcPr>
            <w:tcW w:w="960" w:type="dxa"/>
            <w:tcBorders>
              <w:top w:val="nil"/>
              <w:left w:val="nil"/>
              <w:bottom w:val="nil"/>
              <w:right w:val="nil"/>
            </w:tcBorders>
            <w:shd w:val="clear" w:color="auto" w:fill="auto"/>
            <w:noWrap/>
            <w:vAlign w:val="center"/>
            <w:hideMark/>
          </w:tcPr>
          <w:p w14:paraId="6633AC74"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nil"/>
              <w:left w:val="nil"/>
              <w:bottom w:val="nil"/>
              <w:right w:val="nil"/>
            </w:tcBorders>
            <w:shd w:val="clear" w:color="auto" w:fill="auto"/>
            <w:noWrap/>
            <w:vAlign w:val="center"/>
            <w:hideMark/>
          </w:tcPr>
          <w:p w14:paraId="676BDE91" w14:textId="77777777" w:rsidR="00112EDC" w:rsidRPr="00E42A54" w:rsidRDefault="00112EDC" w:rsidP="008679FF">
            <w:pPr>
              <w:pStyle w:val="NoSpacing"/>
              <w:rPr>
                <w:color w:val="000000"/>
                <w:szCs w:val="24"/>
              </w:rPr>
            </w:pPr>
            <w:r w:rsidRPr="00E42A54">
              <w:rPr>
                <w:color w:val="000000"/>
                <w:szCs w:val="24"/>
              </w:rPr>
              <w:t>9.54</w:t>
            </w:r>
          </w:p>
        </w:tc>
        <w:tc>
          <w:tcPr>
            <w:tcW w:w="848" w:type="dxa"/>
            <w:tcBorders>
              <w:top w:val="nil"/>
              <w:left w:val="nil"/>
              <w:bottom w:val="nil"/>
              <w:right w:val="nil"/>
            </w:tcBorders>
            <w:shd w:val="clear" w:color="auto" w:fill="auto"/>
            <w:noWrap/>
            <w:vAlign w:val="center"/>
            <w:hideMark/>
          </w:tcPr>
          <w:p w14:paraId="30464741"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132855A5" w14:textId="77777777" w:rsidR="00112EDC" w:rsidRPr="00E42A54" w:rsidRDefault="00112EDC" w:rsidP="008679FF">
            <w:pPr>
              <w:pStyle w:val="NoSpacing"/>
              <w:rPr>
                <w:color w:val="000000"/>
                <w:szCs w:val="24"/>
              </w:rPr>
            </w:pPr>
            <w:r w:rsidRPr="00E42A54">
              <w:rPr>
                <w:color w:val="000000"/>
                <w:szCs w:val="24"/>
              </w:rPr>
              <w:t>0.20</w:t>
            </w:r>
          </w:p>
        </w:tc>
        <w:tc>
          <w:tcPr>
            <w:tcW w:w="960" w:type="dxa"/>
            <w:tcBorders>
              <w:top w:val="nil"/>
              <w:left w:val="nil"/>
              <w:bottom w:val="nil"/>
              <w:right w:val="nil"/>
            </w:tcBorders>
            <w:shd w:val="clear" w:color="auto" w:fill="auto"/>
            <w:noWrap/>
            <w:vAlign w:val="center"/>
            <w:hideMark/>
          </w:tcPr>
          <w:p w14:paraId="0D6A43EE" w14:textId="77777777" w:rsidR="00112EDC" w:rsidRPr="00E42A54" w:rsidRDefault="00112EDC" w:rsidP="008679FF">
            <w:pPr>
              <w:pStyle w:val="NoSpacing"/>
              <w:rPr>
                <w:color w:val="000000"/>
                <w:szCs w:val="24"/>
              </w:rPr>
            </w:pPr>
            <w:r w:rsidRPr="00E42A54">
              <w:rPr>
                <w:color w:val="000000"/>
                <w:szCs w:val="24"/>
              </w:rPr>
              <w:t>2.21</w:t>
            </w:r>
          </w:p>
        </w:tc>
      </w:tr>
      <w:tr w:rsidR="00112EDC" w:rsidRPr="00112EDC" w14:paraId="78C20239"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24843532" w14:textId="77777777" w:rsidR="00112EDC" w:rsidRPr="00E42A54" w:rsidRDefault="00112EDC" w:rsidP="008679FF">
            <w:pPr>
              <w:pStyle w:val="NoSpacing"/>
              <w:rPr>
                <w:color w:val="000000"/>
                <w:szCs w:val="24"/>
              </w:rPr>
            </w:pPr>
            <w:r w:rsidRPr="00E42A54">
              <w:rPr>
                <w:color w:val="000000"/>
                <w:szCs w:val="24"/>
              </w:rPr>
              <w:t>2009</w:t>
            </w:r>
          </w:p>
        </w:tc>
        <w:tc>
          <w:tcPr>
            <w:tcW w:w="960" w:type="dxa"/>
            <w:tcBorders>
              <w:top w:val="nil"/>
              <w:left w:val="nil"/>
              <w:bottom w:val="nil"/>
              <w:right w:val="nil"/>
            </w:tcBorders>
            <w:shd w:val="clear" w:color="auto" w:fill="auto"/>
            <w:noWrap/>
            <w:vAlign w:val="center"/>
            <w:hideMark/>
          </w:tcPr>
          <w:p w14:paraId="7EF97F4D"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44959965" w14:textId="77777777" w:rsidR="00112EDC" w:rsidRPr="00E42A54" w:rsidRDefault="00112EDC" w:rsidP="008679FF">
            <w:pPr>
              <w:pStyle w:val="NoSpacing"/>
              <w:rPr>
                <w:color w:val="000000"/>
                <w:szCs w:val="24"/>
              </w:rPr>
            </w:pPr>
            <w:r w:rsidRPr="00E42A54">
              <w:rPr>
                <w:color w:val="000000"/>
                <w:szCs w:val="24"/>
              </w:rPr>
              <w:t>8.51</w:t>
            </w:r>
          </w:p>
        </w:tc>
        <w:tc>
          <w:tcPr>
            <w:tcW w:w="848" w:type="dxa"/>
            <w:tcBorders>
              <w:top w:val="nil"/>
              <w:left w:val="nil"/>
              <w:bottom w:val="nil"/>
              <w:right w:val="nil"/>
            </w:tcBorders>
            <w:shd w:val="clear" w:color="auto" w:fill="auto"/>
            <w:noWrap/>
            <w:vAlign w:val="center"/>
            <w:hideMark/>
          </w:tcPr>
          <w:p w14:paraId="3A2A8B3D"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0D2C6AF2" w14:textId="77777777" w:rsidR="00112EDC" w:rsidRPr="00E42A54" w:rsidRDefault="00112EDC" w:rsidP="008679FF">
            <w:pPr>
              <w:pStyle w:val="NoSpacing"/>
              <w:rPr>
                <w:color w:val="000000"/>
                <w:szCs w:val="24"/>
              </w:rPr>
            </w:pPr>
            <w:r w:rsidRPr="00E42A54">
              <w:rPr>
                <w:color w:val="000000"/>
                <w:szCs w:val="24"/>
              </w:rPr>
              <w:t>0.37</w:t>
            </w:r>
          </w:p>
        </w:tc>
        <w:tc>
          <w:tcPr>
            <w:tcW w:w="960" w:type="dxa"/>
            <w:tcBorders>
              <w:top w:val="nil"/>
              <w:left w:val="nil"/>
              <w:bottom w:val="nil"/>
              <w:right w:val="nil"/>
            </w:tcBorders>
            <w:shd w:val="clear" w:color="auto" w:fill="auto"/>
            <w:noWrap/>
            <w:vAlign w:val="center"/>
            <w:hideMark/>
          </w:tcPr>
          <w:p w14:paraId="7C0F79D6" w14:textId="77777777" w:rsidR="00112EDC" w:rsidRPr="00E42A54" w:rsidRDefault="00112EDC" w:rsidP="008679FF">
            <w:pPr>
              <w:pStyle w:val="NoSpacing"/>
              <w:rPr>
                <w:color w:val="000000"/>
                <w:szCs w:val="24"/>
              </w:rPr>
            </w:pPr>
            <w:r w:rsidRPr="00E42A54">
              <w:rPr>
                <w:color w:val="000000"/>
                <w:szCs w:val="24"/>
              </w:rPr>
              <w:t>1.46</w:t>
            </w:r>
          </w:p>
        </w:tc>
      </w:tr>
      <w:tr w:rsidR="00112EDC" w:rsidRPr="00112EDC" w14:paraId="2C8A2203"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45DC2BBC" w14:textId="77777777" w:rsidR="00112EDC" w:rsidRPr="00E42A54" w:rsidRDefault="00112EDC" w:rsidP="008679FF">
            <w:pPr>
              <w:pStyle w:val="NoSpacing"/>
              <w:rPr>
                <w:color w:val="000000"/>
                <w:szCs w:val="24"/>
              </w:rPr>
            </w:pPr>
            <w:r w:rsidRPr="00E42A54">
              <w:rPr>
                <w:color w:val="000000"/>
                <w:szCs w:val="24"/>
              </w:rPr>
              <w:t>2009</w:t>
            </w:r>
          </w:p>
        </w:tc>
        <w:tc>
          <w:tcPr>
            <w:tcW w:w="960" w:type="dxa"/>
            <w:tcBorders>
              <w:top w:val="nil"/>
              <w:left w:val="nil"/>
              <w:bottom w:val="nil"/>
              <w:right w:val="nil"/>
            </w:tcBorders>
            <w:shd w:val="clear" w:color="auto" w:fill="auto"/>
            <w:noWrap/>
            <w:vAlign w:val="center"/>
            <w:hideMark/>
          </w:tcPr>
          <w:p w14:paraId="2A869BD9"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0915916D" w14:textId="77777777" w:rsidR="00112EDC" w:rsidRPr="00E42A54" w:rsidRDefault="00112EDC" w:rsidP="008679FF">
            <w:pPr>
              <w:pStyle w:val="NoSpacing"/>
              <w:rPr>
                <w:color w:val="000000"/>
                <w:szCs w:val="24"/>
              </w:rPr>
            </w:pPr>
            <w:r w:rsidRPr="00E42A54">
              <w:rPr>
                <w:color w:val="000000"/>
                <w:szCs w:val="24"/>
              </w:rPr>
              <w:t>7.90</w:t>
            </w:r>
          </w:p>
        </w:tc>
        <w:tc>
          <w:tcPr>
            <w:tcW w:w="848" w:type="dxa"/>
            <w:tcBorders>
              <w:top w:val="nil"/>
              <w:left w:val="nil"/>
              <w:bottom w:val="nil"/>
              <w:right w:val="nil"/>
            </w:tcBorders>
            <w:shd w:val="clear" w:color="auto" w:fill="auto"/>
            <w:noWrap/>
            <w:vAlign w:val="center"/>
            <w:hideMark/>
          </w:tcPr>
          <w:p w14:paraId="1B78C1EA" w14:textId="77777777" w:rsidR="00112EDC" w:rsidRPr="00E42A54" w:rsidRDefault="00112EDC" w:rsidP="008679FF">
            <w:pPr>
              <w:pStyle w:val="NoSpacing"/>
              <w:rPr>
                <w:color w:val="000000"/>
                <w:szCs w:val="24"/>
              </w:rPr>
            </w:pPr>
            <w:r w:rsidRPr="00E42A54">
              <w:rPr>
                <w:color w:val="000000"/>
                <w:szCs w:val="24"/>
              </w:rPr>
              <w:t>0.05</w:t>
            </w:r>
          </w:p>
        </w:tc>
        <w:tc>
          <w:tcPr>
            <w:tcW w:w="960" w:type="dxa"/>
            <w:tcBorders>
              <w:top w:val="nil"/>
              <w:left w:val="nil"/>
              <w:bottom w:val="nil"/>
              <w:right w:val="nil"/>
            </w:tcBorders>
            <w:shd w:val="clear" w:color="auto" w:fill="auto"/>
            <w:noWrap/>
            <w:vAlign w:val="center"/>
            <w:hideMark/>
          </w:tcPr>
          <w:p w14:paraId="02B3F425" w14:textId="77777777" w:rsidR="00112EDC" w:rsidRPr="00E42A54" w:rsidRDefault="00112EDC" w:rsidP="008679FF">
            <w:pPr>
              <w:pStyle w:val="NoSpacing"/>
              <w:rPr>
                <w:color w:val="000000"/>
                <w:szCs w:val="24"/>
              </w:rPr>
            </w:pPr>
            <w:r w:rsidRPr="00E42A54">
              <w:rPr>
                <w:color w:val="000000"/>
                <w:szCs w:val="24"/>
              </w:rPr>
              <w:t>0.19</w:t>
            </w:r>
          </w:p>
        </w:tc>
        <w:tc>
          <w:tcPr>
            <w:tcW w:w="960" w:type="dxa"/>
            <w:tcBorders>
              <w:top w:val="nil"/>
              <w:left w:val="nil"/>
              <w:bottom w:val="nil"/>
              <w:right w:val="nil"/>
            </w:tcBorders>
            <w:shd w:val="clear" w:color="auto" w:fill="auto"/>
            <w:noWrap/>
            <w:vAlign w:val="center"/>
            <w:hideMark/>
          </w:tcPr>
          <w:p w14:paraId="4CA9E384" w14:textId="77777777" w:rsidR="00112EDC" w:rsidRPr="00E42A54" w:rsidRDefault="00112EDC" w:rsidP="008679FF">
            <w:pPr>
              <w:pStyle w:val="NoSpacing"/>
              <w:rPr>
                <w:color w:val="000000"/>
                <w:szCs w:val="24"/>
              </w:rPr>
            </w:pPr>
            <w:r w:rsidRPr="00E42A54">
              <w:rPr>
                <w:color w:val="000000"/>
                <w:szCs w:val="24"/>
              </w:rPr>
              <w:t>2.33</w:t>
            </w:r>
          </w:p>
        </w:tc>
      </w:tr>
      <w:tr w:rsidR="00112EDC" w:rsidRPr="00112EDC" w14:paraId="31D56005"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4A479C83" w14:textId="77777777" w:rsidR="00112EDC" w:rsidRPr="00E42A54" w:rsidRDefault="00112EDC" w:rsidP="008679FF">
            <w:pPr>
              <w:pStyle w:val="NoSpacing"/>
              <w:rPr>
                <w:color w:val="000000"/>
                <w:szCs w:val="24"/>
              </w:rPr>
            </w:pPr>
            <w:r w:rsidRPr="00E42A54">
              <w:rPr>
                <w:color w:val="000000"/>
                <w:szCs w:val="24"/>
              </w:rPr>
              <w:t>2009</w:t>
            </w:r>
          </w:p>
        </w:tc>
        <w:tc>
          <w:tcPr>
            <w:tcW w:w="960" w:type="dxa"/>
            <w:tcBorders>
              <w:top w:val="nil"/>
              <w:left w:val="nil"/>
              <w:bottom w:val="nil"/>
              <w:right w:val="nil"/>
            </w:tcBorders>
            <w:shd w:val="clear" w:color="auto" w:fill="auto"/>
            <w:noWrap/>
            <w:vAlign w:val="center"/>
            <w:hideMark/>
          </w:tcPr>
          <w:p w14:paraId="384C3C1C"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5FAAD4F0" w14:textId="77777777" w:rsidR="00112EDC" w:rsidRPr="00E42A54" w:rsidRDefault="00112EDC" w:rsidP="008679FF">
            <w:pPr>
              <w:pStyle w:val="NoSpacing"/>
              <w:rPr>
                <w:color w:val="000000"/>
                <w:szCs w:val="24"/>
              </w:rPr>
            </w:pPr>
            <w:r w:rsidRPr="00E42A54">
              <w:rPr>
                <w:color w:val="000000"/>
                <w:szCs w:val="24"/>
              </w:rPr>
              <w:t>7.53</w:t>
            </w:r>
          </w:p>
        </w:tc>
        <w:tc>
          <w:tcPr>
            <w:tcW w:w="848" w:type="dxa"/>
            <w:tcBorders>
              <w:top w:val="nil"/>
              <w:left w:val="nil"/>
              <w:bottom w:val="nil"/>
              <w:right w:val="nil"/>
            </w:tcBorders>
            <w:shd w:val="clear" w:color="auto" w:fill="auto"/>
            <w:noWrap/>
            <w:vAlign w:val="center"/>
            <w:hideMark/>
          </w:tcPr>
          <w:p w14:paraId="37B7E211" w14:textId="77777777" w:rsidR="00112EDC" w:rsidRPr="00E42A54" w:rsidRDefault="00112EDC" w:rsidP="008679FF">
            <w:pPr>
              <w:pStyle w:val="NoSpacing"/>
              <w:rPr>
                <w:color w:val="000000"/>
                <w:szCs w:val="24"/>
              </w:rPr>
            </w:pPr>
            <w:r w:rsidRPr="00E42A54">
              <w:rPr>
                <w:color w:val="000000"/>
                <w:szCs w:val="24"/>
              </w:rPr>
              <w:t>0.05</w:t>
            </w:r>
          </w:p>
        </w:tc>
        <w:tc>
          <w:tcPr>
            <w:tcW w:w="960" w:type="dxa"/>
            <w:tcBorders>
              <w:top w:val="nil"/>
              <w:left w:val="nil"/>
              <w:bottom w:val="nil"/>
              <w:right w:val="nil"/>
            </w:tcBorders>
            <w:shd w:val="clear" w:color="auto" w:fill="auto"/>
            <w:noWrap/>
            <w:vAlign w:val="center"/>
            <w:hideMark/>
          </w:tcPr>
          <w:p w14:paraId="246868B7" w14:textId="77777777" w:rsidR="00112EDC" w:rsidRPr="00E42A54" w:rsidRDefault="00112EDC" w:rsidP="008679FF">
            <w:pPr>
              <w:pStyle w:val="NoSpacing"/>
              <w:rPr>
                <w:color w:val="000000"/>
                <w:szCs w:val="24"/>
              </w:rPr>
            </w:pPr>
            <w:r w:rsidRPr="00E42A54">
              <w:rPr>
                <w:color w:val="000000"/>
                <w:szCs w:val="24"/>
              </w:rPr>
              <w:t>0.16</w:t>
            </w:r>
          </w:p>
        </w:tc>
        <w:tc>
          <w:tcPr>
            <w:tcW w:w="960" w:type="dxa"/>
            <w:tcBorders>
              <w:top w:val="nil"/>
              <w:left w:val="nil"/>
              <w:bottom w:val="nil"/>
              <w:right w:val="nil"/>
            </w:tcBorders>
            <w:shd w:val="clear" w:color="auto" w:fill="auto"/>
            <w:noWrap/>
            <w:vAlign w:val="center"/>
            <w:hideMark/>
          </w:tcPr>
          <w:p w14:paraId="5485F358" w14:textId="77777777" w:rsidR="00112EDC" w:rsidRPr="00E42A54" w:rsidRDefault="00112EDC" w:rsidP="008679FF">
            <w:pPr>
              <w:pStyle w:val="NoSpacing"/>
              <w:rPr>
                <w:color w:val="000000"/>
                <w:szCs w:val="24"/>
              </w:rPr>
            </w:pPr>
            <w:r w:rsidRPr="00E42A54">
              <w:rPr>
                <w:color w:val="000000"/>
                <w:szCs w:val="24"/>
              </w:rPr>
              <w:t>2.51</w:t>
            </w:r>
          </w:p>
        </w:tc>
      </w:tr>
      <w:tr w:rsidR="00112EDC" w:rsidRPr="00112EDC" w14:paraId="584DCEC6"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61D16C9E" w14:textId="77777777" w:rsidR="00112EDC" w:rsidRPr="00E42A54" w:rsidRDefault="00112EDC" w:rsidP="008679FF">
            <w:pPr>
              <w:pStyle w:val="NoSpacing"/>
              <w:rPr>
                <w:color w:val="000000"/>
                <w:szCs w:val="24"/>
              </w:rPr>
            </w:pPr>
            <w:r w:rsidRPr="00E42A54">
              <w:rPr>
                <w:color w:val="000000"/>
                <w:szCs w:val="24"/>
              </w:rPr>
              <w:t>2010</w:t>
            </w:r>
          </w:p>
        </w:tc>
        <w:tc>
          <w:tcPr>
            <w:tcW w:w="960" w:type="dxa"/>
            <w:tcBorders>
              <w:top w:val="nil"/>
              <w:left w:val="nil"/>
              <w:bottom w:val="nil"/>
              <w:right w:val="nil"/>
            </w:tcBorders>
            <w:shd w:val="clear" w:color="auto" w:fill="auto"/>
            <w:noWrap/>
            <w:vAlign w:val="center"/>
            <w:hideMark/>
          </w:tcPr>
          <w:p w14:paraId="3A40CA35"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nil"/>
              <w:left w:val="nil"/>
              <w:bottom w:val="nil"/>
              <w:right w:val="nil"/>
            </w:tcBorders>
            <w:shd w:val="clear" w:color="auto" w:fill="auto"/>
            <w:noWrap/>
            <w:vAlign w:val="center"/>
            <w:hideMark/>
          </w:tcPr>
          <w:p w14:paraId="629A20CE" w14:textId="77777777" w:rsidR="00112EDC" w:rsidRPr="00E42A54" w:rsidRDefault="00112EDC" w:rsidP="008679FF">
            <w:pPr>
              <w:pStyle w:val="NoSpacing"/>
              <w:rPr>
                <w:color w:val="000000"/>
                <w:szCs w:val="24"/>
              </w:rPr>
            </w:pPr>
            <w:r w:rsidRPr="00E42A54">
              <w:rPr>
                <w:color w:val="000000"/>
                <w:szCs w:val="24"/>
              </w:rPr>
              <w:t>8.36</w:t>
            </w:r>
          </w:p>
        </w:tc>
        <w:tc>
          <w:tcPr>
            <w:tcW w:w="848" w:type="dxa"/>
            <w:tcBorders>
              <w:top w:val="nil"/>
              <w:left w:val="nil"/>
              <w:bottom w:val="nil"/>
              <w:right w:val="nil"/>
            </w:tcBorders>
            <w:shd w:val="clear" w:color="auto" w:fill="auto"/>
            <w:noWrap/>
            <w:vAlign w:val="center"/>
            <w:hideMark/>
          </w:tcPr>
          <w:p w14:paraId="4DE95899"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0BF8D6A7" w14:textId="77777777" w:rsidR="00112EDC" w:rsidRPr="00E42A54" w:rsidRDefault="00112EDC" w:rsidP="008679FF">
            <w:pPr>
              <w:pStyle w:val="NoSpacing"/>
              <w:rPr>
                <w:color w:val="000000"/>
                <w:szCs w:val="24"/>
              </w:rPr>
            </w:pPr>
            <w:r w:rsidRPr="00E42A54">
              <w:rPr>
                <w:color w:val="000000"/>
                <w:szCs w:val="24"/>
              </w:rPr>
              <w:t>0.20</w:t>
            </w:r>
          </w:p>
        </w:tc>
        <w:tc>
          <w:tcPr>
            <w:tcW w:w="960" w:type="dxa"/>
            <w:tcBorders>
              <w:top w:val="nil"/>
              <w:left w:val="nil"/>
              <w:bottom w:val="nil"/>
              <w:right w:val="nil"/>
            </w:tcBorders>
            <w:shd w:val="clear" w:color="auto" w:fill="auto"/>
            <w:noWrap/>
            <w:vAlign w:val="center"/>
            <w:hideMark/>
          </w:tcPr>
          <w:p w14:paraId="644F7BD0" w14:textId="77777777" w:rsidR="00112EDC" w:rsidRPr="00E42A54" w:rsidRDefault="00112EDC" w:rsidP="008679FF">
            <w:pPr>
              <w:pStyle w:val="NoSpacing"/>
              <w:rPr>
                <w:color w:val="000000"/>
                <w:szCs w:val="24"/>
              </w:rPr>
            </w:pPr>
            <w:r w:rsidRPr="00E42A54">
              <w:rPr>
                <w:color w:val="000000"/>
                <w:szCs w:val="24"/>
              </w:rPr>
              <w:t>2.26</w:t>
            </w:r>
          </w:p>
        </w:tc>
      </w:tr>
      <w:tr w:rsidR="00112EDC" w:rsidRPr="00112EDC" w14:paraId="7B099366"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3C027791" w14:textId="77777777" w:rsidR="00112EDC" w:rsidRPr="00E42A54" w:rsidRDefault="00112EDC" w:rsidP="008679FF">
            <w:pPr>
              <w:pStyle w:val="NoSpacing"/>
              <w:rPr>
                <w:color w:val="000000"/>
                <w:szCs w:val="24"/>
              </w:rPr>
            </w:pPr>
            <w:r w:rsidRPr="00E42A54">
              <w:rPr>
                <w:color w:val="000000"/>
                <w:szCs w:val="24"/>
              </w:rPr>
              <w:lastRenderedPageBreak/>
              <w:t>2010</w:t>
            </w:r>
          </w:p>
        </w:tc>
        <w:tc>
          <w:tcPr>
            <w:tcW w:w="960" w:type="dxa"/>
            <w:tcBorders>
              <w:top w:val="nil"/>
              <w:left w:val="nil"/>
              <w:bottom w:val="nil"/>
              <w:right w:val="nil"/>
            </w:tcBorders>
            <w:shd w:val="clear" w:color="auto" w:fill="auto"/>
            <w:noWrap/>
            <w:vAlign w:val="center"/>
            <w:hideMark/>
          </w:tcPr>
          <w:p w14:paraId="45B1D642"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527580FC" w14:textId="77777777" w:rsidR="00112EDC" w:rsidRPr="00E42A54" w:rsidRDefault="00112EDC" w:rsidP="008679FF">
            <w:pPr>
              <w:pStyle w:val="NoSpacing"/>
              <w:rPr>
                <w:color w:val="000000"/>
                <w:szCs w:val="24"/>
              </w:rPr>
            </w:pPr>
            <w:r w:rsidRPr="00E42A54">
              <w:rPr>
                <w:color w:val="000000"/>
                <w:szCs w:val="24"/>
              </w:rPr>
              <w:t>7.46</w:t>
            </w:r>
          </w:p>
        </w:tc>
        <w:tc>
          <w:tcPr>
            <w:tcW w:w="848" w:type="dxa"/>
            <w:tcBorders>
              <w:top w:val="nil"/>
              <w:left w:val="nil"/>
              <w:bottom w:val="nil"/>
              <w:right w:val="nil"/>
            </w:tcBorders>
            <w:shd w:val="clear" w:color="auto" w:fill="auto"/>
            <w:noWrap/>
            <w:vAlign w:val="center"/>
            <w:hideMark/>
          </w:tcPr>
          <w:p w14:paraId="00E229AE" w14:textId="77777777" w:rsidR="00112EDC" w:rsidRPr="00E42A54" w:rsidRDefault="00112EDC" w:rsidP="008679FF">
            <w:pPr>
              <w:pStyle w:val="NoSpacing"/>
              <w:rPr>
                <w:color w:val="000000"/>
                <w:szCs w:val="24"/>
              </w:rPr>
            </w:pPr>
            <w:r w:rsidRPr="00E42A54">
              <w:rPr>
                <w:color w:val="000000"/>
                <w:szCs w:val="24"/>
              </w:rPr>
              <w:t>0.05</w:t>
            </w:r>
          </w:p>
        </w:tc>
        <w:tc>
          <w:tcPr>
            <w:tcW w:w="960" w:type="dxa"/>
            <w:tcBorders>
              <w:top w:val="nil"/>
              <w:left w:val="nil"/>
              <w:bottom w:val="nil"/>
              <w:right w:val="nil"/>
            </w:tcBorders>
            <w:shd w:val="clear" w:color="auto" w:fill="auto"/>
            <w:noWrap/>
            <w:vAlign w:val="center"/>
            <w:hideMark/>
          </w:tcPr>
          <w:p w14:paraId="7F659B6C" w14:textId="77777777" w:rsidR="00112EDC" w:rsidRPr="00E42A54" w:rsidRDefault="00112EDC" w:rsidP="008679FF">
            <w:pPr>
              <w:pStyle w:val="NoSpacing"/>
              <w:rPr>
                <w:color w:val="000000"/>
                <w:szCs w:val="24"/>
              </w:rPr>
            </w:pPr>
            <w:r w:rsidRPr="00E42A54">
              <w:rPr>
                <w:color w:val="000000"/>
                <w:szCs w:val="24"/>
              </w:rPr>
              <w:t>0.36</w:t>
            </w:r>
          </w:p>
        </w:tc>
        <w:tc>
          <w:tcPr>
            <w:tcW w:w="960" w:type="dxa"/>
            <w:tcBorders>
              <w:top w:val="nil"/>
              <w:left w:val="nil"/>
              <w:bottom w:val="nil"/>
              <w:right w:val="nil"/>
            </w:tcBorders>
            <w:shd w:val="clear" w:color="auto" w:fill="auto"/>
            <w:noWrap/>
            <w:vAlign w:val="center"/>
            <w:hideMark/>
          </w:tcPr>
          <w:p w14:paraId="78088CAC" w14:textId="77777777" w:rsidR="00112EDC" w:rsidRPr="00E42A54" w:rsidRDefault="00112EDC" w:rsidP="008679FF">
            <w:pPr>
              <w:pStyle w:val="NoSpacing"/>
              <w:rPr>
                <w:color w:val="000000"/>
                <w:szCs w:val="24"/>
              </w:rPr>
            </w:pPr>
            <w:r w:rsidRPr="00E42A54">
              <w:rPr>
                <w:color w:val="000000"/>
                <w:szCs w:val="24"/>
              </w:rPr>
              <w:t>1.50</w:t>
            </w:r>
          </w:p>
        </w:tc>
      </w:tr>
      <w:tr w:rsidR="00112EDC" w:rsidRPr="00112EDC" w14:paraId="6C84AD12"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3968A611" w14:textId="77777777" w:rsidR="00112EDC" w:rsidRPr="00E42A54" w:rsidRDefault="00112EDC" w:rsidP="008679FF">
            <w:pPr>
              <w:pStyle w:val="NoSpacing"/>
              <w:rPr>
                <w:color w:val="000000"/>
                <w:szCs w:val="24"/>
              </w:rPr>
            </w:pPr>
            <w:r w:rsidRPr="00E42A54">
              <w:rPr>
                <w:color w:val="000000"/>
                <w:szCs w:val="24"/>
              </w:rPr>
              <w:t>2010</w:t>
            </w:r>
          </w:p>
        </w:tc>
        <w:tc>
          <w:tcPr>
            <w:tcW w:w="960" w:type="dxa"/>
            <w:tcBorders>
              <w:top w:val="nil"/>
              <w:left w:val="nil"/>
              <w:bottom w:val="nil"/>
              <w:right w:val="nil"/>
            </w:tcBorders>
            <w:shd w:val="clear" w:color="auto" w:fill="auto"/>
            <w:noWrap/>
            <w:vAlign w:val="center"/>
            <w:hideMark/>
          </w:tcPr>
          <w:p w14:paraId="7EB7B74F"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6900496F" w14:textId="77777777" w:rsidR="00112EDC" w:rsidRPr="00E42A54" w:rsidRDefault="00112EDC" w:rsidP="008679FF">
            <w:pPr>
              <w:pStyle w:val="NoSpacing"/>
              <w:rPr>
                <w:color w:val="000000"/>
                <w:szCs w:val="24"/>
              </w:rPr>
            </w:pPr>
            <w:r w:rsidRPr="00E42A54">
              <w:rPr>
                <w:color w:val="000000"/>
                <w:szCs w:val="24"/>
              </w:rPr>
              <w:t>6.92</w:t>
            </w:r>
          </w:p>
        </w:tc>
        <w:tc>
          <w:tcPr>
            <w:tcW w:w="848" w:type="dxa"/>
            <w:tcBorders>
              <w:top w:val="nil"/>
              <w:left w:val="nil"/>
              <w:bottom w:val="nil"/>
              <w:right w:val="nil"/>
            </w:tcBorders>
            <w:shd w:val="clear" w:color="auto" w:fill="auto"/>
            <w:noWrap/>
            <w:vAlign w:val="center"/>
            <w:hideMark/>
          </w:tcPr>
          <w:p w14:paraId="4B0E0B5A" w14:textId="77777777" w:rsidR="00112EDC" w:rsidRPr="00E42A54" w:rsidRDefault="00112EDC" w:rsidP="008679FF">
            <w:pPr>
              <w:pStyle w:val="NoSpacing"/>
              <w:rPr>
                <w:color w:val="000000"/>
                <w:szCs w:val="24"/>
              </w:rPr>
            </w:pPr>
            <w:r w:rsidRPr="00E42A54">
              <w:rPr>
                <w:color w:val="000000"/>
                <w:szCs w:val="24"/>
              </w:rPr>
              <w:t>0.05</w:t>
            </w:r>
          </w:p>
        </w:tc>
        <w:tc>
          <w:tcPr>
            <w:tcW w:w="960" w:type="dxa"/>
            <w:tcBorders>
              <w:top w:val="nil"/>
              <w:left w:val="nil"/>
              <w:bottom w:val="nil"/>
              <w:right w:val="nil"/>
            </w:tcBorders>
            <w:shd w:val="clear" w:color="auto" w:fill="auto"/>
            <w:noWrap/>
            <w:vAlign w:val="center"/>
            <w:hideMark/>
          </w:tcPr>
          <w:p w14:paraId="74D66857" w14:textId="77777777" w:rsidR="00112EDC" w:rsidRPr="00E42A54" w:rsidRDefault="00112EDC" w:rsidP="008679FF">
            <w:pPr>
              <w:pStyle w:val="NoSpacing"/>
              <w:rPr>
                <w:color w:val="000000"/>
                <w:szCs w:val="24"/>
              </w:rPr>
            </w:pPr>
            <w:r w:rsidRPr="00E42A54">
              <w:rPr>
                <w:color w:val="000000"/>
                <w:szCs w:val="24"/>
              </w:rPr>
              <w:t>0.18</w:t>
            </w:r>
          </w:p>
        </w:tc>
        <w:tc>
          <w:tcPr>
            <w:tcW w:w="960" w:type="dxa"/>
            <w:tcBorders>
              <w:top w:val="nil"/>
              <w:left w:val="nil"/>
              <w:bottom w:val="nil"/>
              <w:right w:val="nil"/>
            </w:tcBorders>
            <w:shd w:val="clear" w:color="auto" w:fill="auto"/>
            <w:noWrap/>
            <w:vAlign w:val="center"/>
            <w:hideMark/>
          </w:tcPr>
          <w:p w14:paraId="606DB9FB" w14:textId="77777777" w:rsidR="00112EDC" w:rsidRPr="00E42A54" w:rsidRDefault="00112EDC" w:rsidP="008679FF">
            <w:pPr>
              <w:pStyle w:val="NoSpacing"/>
              <w:rPr>
                <w:color w:val="000000"/>
                <w:szCs w:val="24"/>
              </w:rPr>
            </w:pPr>
            <w:r w:rsidRPr="00E42A54">
              <w:rPr>
                <w:color w:val="000000"/>
                <w:szCs w:val="24"/>
              </w:rPr>
              <w:t>2.39</w:t>
            </w:r>
          </w:p>
        </w:tc>
      </w:tr>
      <w:tr w:rsidR="00112EDC" w:rsidRPr="00112EDC" w14:paraId="4C5C393A"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38F0720B" w14:textId="77777777" w:rsidR="00112EDC" w:rsidRPr="00E42A54" w:rsidRDefault="00112EDC" w:rsidP="008679FF">
            <w:pPr>
              <w:pStyle w:val="NoSpacing"/>
              <w:rPr>
                <w:color w:val="000000"/>
                <w:szCs w:val="24"/>
              </w:rPr>
            </w:pPr>
            <w:r w:rsidRPr="00E42A54">
              <w:rPr>
                <w:color w:val="000000"/>
                <w:szCs w:val="24"/>
              </w:rPr>
              <w:t>2010</w:t>
            </w:r>
          </w:p>
        </w:tc>
        <w:tc>
          <w:tcPr>
            <w:tcW w:w="960" w:type="dxa"/>
            <w:tcBorders>
              <w:top w:val="nil"/>
              <w:left w:val="nil"/>
              <w:bottom w:val="nil"/>
              <w:right w:val="nil"/>
            </w:tcBorders>
            <w:shd w:val="clear" w:color="auto" w:fill="auto"/>
            <w:noWrap/>
            <w:vAlign w:val="center"/>
            <w:hideMark/>
          </w:tcPr>
          <w:p w14:paraId="7B53D60D"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5A47AA8E" w14:textId="77777777" w:rsidR="00112EDC" w:rsidRPr="00E42A54" w:rsidRDefault="00112EDC" w:rsidP="008679FF">
            <w:pPr>
              <w:pStyle w:val="NoSpacing"/>
              <w:rPr>
                <w:color w:val="000000"/>
                <w:szCs w:val="24"/>
              </w:rPr>
            </w:pPr>
            <w:r w:rsidRPr="00E42A54">
              <w:rPr>
                <w:color w:val="000000"/>
                <w:szCs w:val="24"/>
              </w:rPr>
              <w:t>6.60</w:t>
            </w:r>
          </w:p>
        </w:tc>
        <w:tc>
          <w:tcPr>
            <w:tcW w:w="848" w:type="dxa"/>
            <w:tcBorders>
              <w:top w:val="nil"/>
              <w:left w:val="nil"/>
              <w:bottom w:val="nil"/>
              <w:right w:val="nil"/>
            </w:tcBorders>
            <w:shd w:val="clear" w:color="auto" w:fill="auto"/>
            <w:noWrap/>
            <w:vAlign w:val="center"/>
            <w:hideMark/>
          </w:tcPr>
          <w:p w14:paraId="0A66F0EA" w14:textId="77777777" w:rsidR="00112EDC" w:rsidRPr="00E42A54" w:rsidRDefault="00112EDC" w:rsidP="008679FF">
            <w:pPr>
              <w:pStyle w:val="NoSpacing"/>
              <w:rPr>
                <w:color w:val="000000"/>
                <w:szCs w:val="24"/>
              </w:rPr>
            </w:pPr>
            <w:r w:rsidRPr="00E42A54">
              <w:rPr>
                <w:color w:val="000000"/>
                <w:szCs w:val="24"/>
              </w:rPr>
              <w:t>0.06</w:t>
            </w:r>
          </w:p>
        </w:tc>
        <w:tc>
          <w:tcPr>
            <w:tcW w:w="960" w:type="dxa"/>
            <w:tcBorders>
              <w:top w:val="nil"/>
              <w:left w:val="nil"/>
              <w:bottom w:val="nil"/>
              <w:right w:val="nil"/>
            </w:tcBorders>
            <w:shd w:val="clear" w:color="auto" w:fill="auto"/>
            <w:noWrap/>
            <w:vAlign w:val="center"/>
            <w:hideMark/>
          </w:tcPr>
          <w:p w14:paraId="2A3506FE" w14:textId="77777777" w:rsidR="00112EDC" w:rsidRPr="00E42A54" w:rsidRDefault="00112EDC" w:rsidP="008679FF">
            <w:pPr>
              <w:pStyle w:val="NoSpacing"/>
              <w:rPr>
                <w:color w:val="000000"/>
                <w:szCs w:val="24"/>
              </w:rPr>
            </w:pPr>
            <w:r w:rsidRPr="00E42A54">
              <w:rPr>
                <w:color w:val="000000"/>
                <w:szCs w:val="24"/>
              </w:rPr>
              <w:t>0.16</w:t>
            </w:r>
          </w:p>
        </w:tc>
        <w:tc>
          <w:tcPr>
            <w:tcW w:w="960" w:type="dxa"/>
            <w:tcBorders>
              <w:top w:val="nil"/>
              <w:left w:val="nil"/>
              <w:bottom w:val="nil"/>
              <w:right w:val="nil"/>
            </w:tcBorders>
            <w:shd w:val="clear" w:color="auto" w:fill="auto"/>
            <w:noWrap/>
            <w:vAlign w:val="center"/>
            <w:hideMark/>
          </w:tcPr>
          <w:p w14:paraId="4F5A0AC6" w14:textId="77777777" w:rsidR="00112EDC" w:rsidRPr="00E42A54" w:rsidRDefault="00112EDC" w:rsidP="008679FF">
            <w:pPr>
              <w:pStyle w:val="NoSpacing"/>
              <w:rPr>
                <w:color w:val="000000"/>
                <w:szCs w:val="24"/>
              </w:rPr>
            </w:pPr>
            <w:r w:rsidRPr="00E42A54">
              <w:rPr>
                <w:color w:val="000000"/>
                <w:szCs w:val="24"/>
              </w:rPr>
              <w:t>2.56</w:t>
            </w:r>
          </w:p>
        </w:tc>
      </w:tr>
      <w:tr w:rsidR="00112EDC" w:rsidRPr="00112EDC" w14:paraId="4E899EA6"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090C441C" w14:textId="77777777" w:rsidR="00112EDC" w:rsidRPr="00E42A54" w:rsidRDefault="00112EDC" w:rsidP="008679FF">
            <w:pPr>
              <w:pStyle w:val="NoSpacing"/>
              <w:rPr>
                <w:color w:val="000000"/>
                <w:szCs w:val="24"/>
              </w:rPr>
            </w:pPr>
            <w:r w:rsidRPr="00E42A54">
              <w:rPr>
                <w:color w:val="000000"/>
                <w:szCs w:val="24"/>
              </w:rPr>
              <w:t>2011</w:t>
            </w:r>
          </w:p>
        </w:tc>
        <w:tc>
          <w:tcPr>
            <w:tcW w:w="960" w:type="dxa"/>
            <w:tcBorders>
              <w:top w:val="nil"/>
              <w:left w:val="nil"/>
              <w:bottom w:val="nil"/>
              <w:right w:val="nil"/>
            </w:tcBorders>
            <w:shd w:val="clear" w:color="auto" w:fill="auto"/>
            <w:noWrap/>
            <w:vAlign w:val="center"/>
            <w:hideMark/>
          </w:tcPr>
          <w:p w14:paraId="369D9813"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nil"/>
              <w:left w:val="nil"/>
              <w:bottom w:val="nil"/>
              <w:right w:val="nil"/>
            </w:tcBorders>
            <w:shd w:val="clear" w:color="auto" w:fill="auto"/>
            <w:noWrap/>
            <w:vAlign w:val="center"/>
            <w:hideMark/>
          </w:tcPr>
          <w:p w14:paraId="56DFE9B1" w14:textId="77777777" w:rsidR="00112EDC" w:rsidRPr="00E42A54" w:rsidRDefault="00112EDC" w:rsidP="008679FF">
            <w:pPr>
              <w:pStyle w:val="NoSpacing"/>
              <w:rPr>
                <w:color w:val="000000"/>
                <w:szCs w:val="24"/>
              </w:rPr>
            </w:pPr>
            <w:r w:rsidRPr="00E42A54">
              <w:rPr>
                <w:color w:val="000000"/>
                <w:szCs w:val="24"/>
              </w:rPr>
              <w:t>9.81</w:t>
            </w:r>
          </w:p>
        </w:tc>
        <w:tc>
          <w:tcPr>
            <w:tcW w:w="848" w:type="dxa"/>
            <w:tcBorders>
              <w:top w:val="nil"/>
              <w:left w:val="nil"/>
              <w:bottom w:val="nil"/>
              <w:right w:val="nil"/>
            </w:tcBorders>
            <w:shd w:val="clear" w:color="auto" w:fill="auto"/>
            <w:noWrap/>
            <w:vAlign w:val="center"/>
            <w:hideMark/>
          </w:tcPr>
          <w:p w14:paraId="67150E81"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2DDA5796" w14:textId="77777777" w:rsidR="00112EDC" w:rsidRPr="00E42A54" w:rsidRDefault="00112EDC" w:rsidP="008679FF">
            <w:pPr>
              <w:pStyle w:val="NoSpacing"/>
              <w:rPr>
                <w:color w:val="000000"/>
                <w:szCs w:val="24"/>
              </w:rPr>
            </w:pPr>
            <w:r w:rsidRPr="00E42A54">
              <w:rPr>
                <w:color w:val="000000"/>
                <w:szCs w:val="24"/>
              </w:rPr>
              <w:t>0.17</w:t>
            </w:r>
          </w:p>
        </w:tc>
        <w:tc>
          <w:tcPr>
            <w:tcW w:w="960" w:type="dxa"/>
            <w:tcBorders>
              <w:top w:val="nil"/>
              <w:left w:val="nil"/>
              <w:bottom w:val="nil"/>
              <w:right w:val="nil"/>
            </w:tcBorders>
            <w:shd w:val="clear" w:color="auto" w:fill="auto"/>
            <w:noWrap/>
            <w:vAlign w:val="center"/>
            <w:hideMark/>
          </w:tcPr>
          <w:p w14:paraId="2C5EDE79" w14:textId="77777777" w:rsidR="00112EDC" w:rsidRPr="00E42A54" w:rsidRDefault="00112EDC" w:rsidP="008679FF">
            <w:pPr>
              <w:pStyle w:val="NoSpacing"/>
              <w:rPr>
                <w:color w:val="000000"/>
                <w:szCs w:val="24"/>
              </w:rPr>
            </w:pPr>
            <w:r w:rsidRPr="00E42A54">
              <w:rPr>
                <w:color w:val="000000"/>
                <w:szCs w:val="24"/>
              </w:rPr>
              <w:t>2.50</w:t>
            </w:r>
          </w:p>
        </w:tc>
      </w:tr>
      <w:tr w:rsidR="00112EDC" w:rsidRPr="00112EDC" w14:paraId="05960860"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10982637" w14:textId="77777777" w:rsidR="00112EDC" w:rsidRPr="00E42A54" w:rsidRDefault="00112EDC" w:rsidP="008679FF">
            <w:pPr>
              <w:pStyle w:val="NoSpacing"/>
              <w:rPr>
                <w:color w:val="000000"/>
                <w:szCs w:val="24"/>
              </w:rPr>
            </w:pPr>
            <w:r w:rsidRPr="00E42A54">
              <w:rPr>
                <w:color w:val="000000"/>
                <w:szCs w:val="24"/>
              </w:rPr>
              <w:t>2011</w:t>
            </w:r>
          </w:p>
        </w:tc>
        <w:tc>
          <w:tcPr>
            <w:tcW w:w="960" w:type="dxa"/>
            <w:tcBorders>
              <w:top w:val="nil"/>
              <w:left w:val="nil"/>
              <w:bottom w:val="nil"/>
              <w:right w:val="nil"/>
            </w:tcBorders>
            <w:shd w:val="clear" w:color="auto" w:fill="auto"/>
            <w:noWrap/>
            <w:vAlign w:val="center"/>
            <w:hideMark/>
          </w:tcPr>
          <w:p w14:paraId="37FED2A3"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45E39C11" w14:textId="77777777" w:rsidR="00112EDC" w:rsidRPr="00E42A54" w:rsidRDefault="00112EDC" w:rsidP="008679FF">
            <w:pPr>
              <w:pStyle w:val="NoSpacing"/>
              <w:rPr>
                <w:color w:val="000000"/>
                <w:szCs w:val="24"/>
              </w:rPr>
            </w:pPr>
            <w:r w:rsidRPr="00E42A54">
              <w:rPr>
                <w:color w:val="000000"/>
                <w:szCs w:val="24"/>
              </w:rPr>
              <w:t>8.76</w:t>
            </w:r>
          </w:p>
        </w:tc>
        <w:tc>
          <w:tcPr>
            <w:tcW w:w="848" w:type="dxa"/>
            <w:tcBorders>
              <w:top w:val="nil"/>
              <w:left w:val="nil"/>
              <w:bottom w:val="nil"/>
              <w:right w:val="nil"/>
            </w:tcBorders>
            <w:shd w:val="clear" w:color="auto" w:fill="auto"/>
            <w:noWrap/>
            <w:vAlign w:val="center"/>
            <w:hideMark/>
          </w:tcPr>
          <w:p w14:paraId="47E724BF"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097994CC" w14:textId="77777777" w:rsidR="00112EDC" w:rsidRPr="00E42A54" w:rsidRDefault="00112EDC" w:rsidP="008679FF">
            <w:pPr>
              <w:pStyle w:val="NoSpacing"/>
              <w:rPr>
                <w:color w:val="000000"/>
                <w:szCs w:val="24"/>
              </w:rPr>
            </w:pPr>
            <w:r w:rsidRPr="00E42A54">
              <w:rPr>
                <w:color w:val="000000"/>
                <w:szCs w:val="24"/>
              </w:rPr>
              <w:t>0.31</w:t>
            </w:r>
          </w:p>
        </w:tc>
        <w:tc>
          <w:tcPr>
            <w:tcW w:w="960" w:type="dxa"/>
            <w:tcBorders>
              <w:top w:val="nil"/>
              <w:left w:val="nil"/>
              <w:bottom w:val="nil"/>
              <w:right w:val="nil"/>
            </w:tcBorders>
            <w:shd w:val="clear" w:color="auto" w:fill="auto"/>
            <w:noWrap/>
            <w:vAlign w:val="center"/>
            <w:hideMark/>
          </w:tcPr>
          <w:p w14:paraId="184E0EAF" w14:textId="77777777" w:rsidR="00112EDC" w:rsidRPr="00E42A54" w:rsidRDefault="00112EDC" w:rsidP="008679FF">
            <w:pPr>
              <w:pStyle w:val="NoSpacing"/>
              <w:rPr>
                <w:color w:val="000000"/>
                <w:szCs w:val="24"/>
              </w:rPr>
            </w:pPr>
            <w:r w:rsidRPr="00E42A54">
              <w:rPr>
                <w:color w:val="000000"/>
                <w:szCs w:val="24"/>
              </w:rPr>
              <w:t>1.64</w:t>
            </w:r>
          </w:p>
        </w:tc>
      </w:tr>
      <w:tr w:rsidR="00112EDC" w:rsidRPr="00112EDC" w14:paraId="07087D05"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67CBF236" w14:textId="77777777" w:rsidR="00112EDC" w:rsidRPr="00E42A54" w:rsidRDefault="00112EDC" w:rsidP="008679FF">
            <w:pPr>
              <w:pStyle w:val="NoSpacing"/>
              <w:rPr>
                <w:color w:val="000000"/>
                <w:szCs w:val="24"/>
              </w:rPr>
            </w:pPr>
            <w:r w:rsidRPr="00E42A54">
              <w:rPr>
                <w:color w:val="000000"/>
                <w:szCs w:val="24"/>
              </w:rPr>
              <w:t>2011</w:t>
            </w:r>
          </w:p>
        </w:tc>
        <w:tc>
          <w:tcPr>
            <w:tcW w:w="960" w:type="dxa"/>
            <w:tcBorders>
              <w:top w:val="nil"/>
              <w:left w:val="nil"/>
              <w:bottom w:val="nil"/>
              <w:right w:val="nil"/>
            </w:tcBorders>
            <w:shd w:val="clear" w:color="auto" w:fill="auto"/>
            <w:noWrap/>
            <w:vAlign w:val="center"/>
            <w:hideMark/>
          </w:tcPr>
          <w:p w14:paraId="1617E952"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2E5EB140" w14:textId="77777777" w:rsidR="00112EDC" w:rsidRPr="00E42A54" w:rsidRDefault="00112EDC" w:rsidP="008679FF">
            <w:pPr>
              <w:pStyle w:val="NoSpacing"/>
              <w:rPr>
                <w:color w:val="000000"/>
                <w:szCs w:val="24"/>
              </w:rPr>
            </w:pPr>
            <w:r w:rsidRPr="00E42A54">
              <w:rPr>
                <w:color w:val="000000"/>
                <w:szCs w:val="24"/>
              </w:rPr>
              <w:t>8.12</w:t>
            </w:r>
          </w:p>
        </w:tc>
        <w:tc>
          <w:tcPr>
            <w:tcW w:w="848" w:type="dxa"/>
            <w:tcBorders>
              <w:top w:val="nil"/>
              <w:left w:val="nil"/>
              <w:bottom w:val="nil"/>
              <w:right w:val="nil"/>
            </w:tcBorders>
            <w:shd w:val="clear" w:color="auto" w:fill="auto"/>
            <w:noWrap/>
            <w:vAlign w:val="center"/>
            <w:hideMark/>
          </w:tcPr>
          <w:p w14:paraId="01C2C284" w14:textId="77777777" w:rsidR="00112EDC" w:rsidRPr="00E42A54" w:rsidRDefault="00112EDC" w:rsidP="008679FF">
            <w:pPr>
              <w:pStyle w:val="NoSpacing"/>
              <w:rPr>
                <w:color w:val="000000"/>
                <w:szCs w:val="24"/>
              </w:rPr>
            </w:pPr>
            <w:r w:rsidRPr="00E42A54">
              <w:rPr>
                <w:color w:val="000000"/>
                <w:szCs w:val="24"/>
              </w:rPr>
              <w:t>0.05</w:t>
            </w:r>
          </w:p>
        </w:tc>
        <w:tc>
          <w:tcPr>
            <w:tcW w:w="960" w:type="dxa"/>
            <w:tcBorders>
              <w:top w:val="nil"/>
              <w:left w:val="nil"/>
              <w:bottom w:val="nil"/>
              <w:right w:val="nil"/>
            </w:tcBorders>
            <w:shd w:val="clear" w:color="auto" w:fill="auto"/>
            <w:noWrap/>
            <w:vAlign w:val="center"/>
            <w:hideMark/>
          </w:tcPr>
          <w:p w14:paraId="27ACE266" w14:textId="77777777" w:rsidR="00112EDC" w:rsidRPr="00E42A54" w:rsidRDefault="00112EDC" w:rsidP="008679FF">
            <w:pPr>
              <w:pStyle w:val="NoSpacing"/>
              <w:rPr>
                <w:color w:val="000000"/>
                <w:szCs w:val="24"/>
              </w:rPr>
            </w:pPr>
            <w:r w:rsidRPr="00E42A54">
              <w:rPr>
                <w:color w:val="000000"/>
                <w:szCs w:val="24"/>
              </w:rPr>
              <w:t>0.15</w:t>
            </w:r>
          </w:p>
        </w:tc>
        <w:tc>
          <w:tcPr>
            <w:tcW w:w="960" w:type="dxa"/>
            <w:tcBorders>
              <w:top w:val="nil"/>
              <w:left w:val="nil"/>
              <w:bottom w:val="nil"/>
              <w:right w:val="nil"/>
            </w:tcBorders>
            <w:shd w:val="clear" w:color="auto" w:fill="auto"/>
            <w:noWrap/>
            <w:vAlign w:val="center"/>
            <w:hideMark/>
          </w:tcPr>
          <w:p w14:paraId="2E762F7C" w14:textId="77777777" w:rsidR="00112EDC" w:rsidRPr="00E42A54" w:rsidRDefault="00112EDC" w:rsidP="008679FF">
            <w:pPr>
              <w:pStyle w:val="NoSpacing"/>
              <w:rPr>
                <w:color w:val="000000"/>
                <w:szCs w:val="24"/>
              </w:rPr>
            </w:pPr>
            <w:r w:rsidRPr="00E42A54">
              <w:rPr>
                <w:color w:val="000000"/>
                <w:szCs w:val="24"/>
              </w:rPr>
              <w:t>2.64</w:t>
            </w:r>
          </w:p>
        </w:tc>
      </w:tr>
      <w:tr w:rsidR="00112EDC" w:rsidRPr="00112EDC" w14:paraId="3CCFB41F"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6BB0DB8A" w14:textId="77777777" w:rsidR="00112EDC" w:rsidRPr="00E42A54" w:rsidRDefault="00112EDC" w:rsidP="008679FF">
            <w:pPr>
              <w:pStyle w:val="NoSpacing"/>
              <w:rPr>
                <w:color w:val="000000"/>
                <w:szCs w:val="24"/>
              </w:rPr>
            </w:pPr>
            <w:r w:rsidRPr="00E42A54">
              <w:rPr>
                <w:color w:val="000000"/>
                <w:szCs w:val="24"/>
              </w:rPr>
              <w:t>2011</w:t>
            </w:r>
          </w:p>
        </w:tc>
        <w:tc>
          <w:tcPr>
            <w:tcW w:w="960" w:type="dxa"/>
            <w:tcBorders>
              <w:top w:val="nil"/>
              <w:left w:val="nil"/>
              <w:bottom w:val="nil"/>
              <w:right w:val="nil"/>
            </w:tcBorders>
            <w:shd w:val="clear" w:color="auto" w:fill="auto"/>
            <w:noWrap/>
            <w:vAlign w:val="center"/>
            <w:hideMark/>
          </w:tcPr>
          <w:p w14:paraId="7AE33C35"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7A89BFDA" w14:textId="77777777" w:rsidR="00112EDC" w:rsidRPr="00E42A54" w:rsidRDefault="00112EDC" w:rsidP="008679FF">
            <w:pPr>
              <w:pStyle w:val="NoSpacing"/>
              <w:rPr>
                <w:color w:val="000000"/>
                <w:szCs w:val="24"/>
              </w:rPr>
            </w:pPr>
            <w:r w:rsidRPr="00E42A54">
              <w:rPr>
                <w:color w:val="000000"/>
                <w:szCs w:val="24"/>
              </w:rPr>
              <w:t>7.75</w:t>
            </w:r>
          </w:p>
        </w:tc>
        <w:tc>
          <w:tcPr>
            <w:tcW w:w="848" w:type="dxa"/>
            <w:tcBorders>
              <w:top w:val="nil"/>
              <w:left w:val="nil"/>
              <w:bottom w:val="nil"/>
              <w:right w:val="nil"/>
            </w:tcBorders>
            <w:shd w:val="clear" w:color="auto" w:fill="auto"/>
            <w:noWrap/>
            <w:vAlign w:val="center"/>
            <w:hideMark/>
          </w:tcPr>
          <w:p w14:paraId="1191FF1E" w14:textId="77777777" w:rsidR="00112EDC" w:rsidRPr="00E42A54" w:rsidRDefault="00112EDC" w:rsidP="008679FF">
            <w:pPr>
              <w:pStyle w:val="NoSpacing"/>
              <w:rPr>
                <w:color w:val="000000"/>
                <w:szCs w:val="24"/>
              </w:rPr>
            </w:pPr>
            <w:r w:rsidRPr="00E42A54">
              <w:rPr>
                <w:color w:val="000000"/>
                <w:szCs w:val="24"/>
              </w:rPr>
              <w:t>0.05</w:t>
            </w:r>
          </w:p>
        </w:tc>
        <w:tc>
          <w:tcPr>
            <w:tcW w:w="960" w:type="dxa"/>
            <w:tcBorders>
              <w:top w:val="nil"/>
              <w:left w:val="nil"/>
              <w:bottom w:val="nil"/>
              <w:right w:val="nil"/>
            </w:tcBorders>
            <w:shd w:val="clear" w:color="auto" w:fill="auto"/>
            <w:noWrap/>
            <w:vAlign w:val="center"/>
            <w:hideMark/>
          </w:tcPr>
          <w:p w14:paraId="28F4CB30" w14:textId="77777777" w:rsidR="00112EDC" w:rsidRPr="00E42A54" w:rsidRDefault="00112EDC" w:rsidP="008679FF">
            <w:pPr>
              <w:pStyle w:val="NoSpacing"/>
              <w:rPr>
                <w:color w:val="000000"/>
                <w:szCs w:val="24"/>
              </w:rPr>
            </w:pPr>
            <w:r w:rsidRPr="00E42A54">
              <w:rPr>
                <w:color w:val="000000"/>
                <w:szCs w:val="24"/>
              </w:rPr>
              <w:t>0.13</w:t>
            </w:r>
          </w:p>
        </w:tc>
        <w:tc>
          <w:tcPr>
            <w:tcW w:w="960" w:type="dxa"/>
            <w:tcBorders>
              <w:top w:val="nil"/>
              <w:left w:val="nil"/>
              <w:bottom w:val="nil"/>
              <w:right w:val="nil"/>
            </w:tcBorders>
            <w:shd w:val="clear" w:color="auto" w:fill="auto"/>
            <w:noWrap/>
            <w:vAlign w:val="center"/>
            <w:hideMark/>
          </w:tcPr>
          <w:p w14:paraId="5223A722" w14:textId="77777777" w:rsidR="00112EDC" w:rsidRPr="00E42A54" w:rsidRDefault="00112EDC" w:rsidP="008679FF">
            <w:pPr>
              <w:pStyle w:val="NoSpacing"/>
              <w:rPr>
                <w:color w:val="000000"/>
                <w:szCs w:val="24"/>
              </w:rPr>
            </w:pPr>
            <w:r w:rsidRPr="00E42A54">
              <w:rPr>
                <w:color w:val="000000"/>
                <w:szCs w:val="24"/>
              </w:rPr>
              <w:t>2.84</w:t>
            </w:r>
          </w:p>
        </w:tc>
      </w:tr>
      <w:tr w:rsidR="00112EDC" w:rsidRPr="00112EDC" w14:paraId="12B6E3F9"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073DCAE7" w14:textId="77777777" w:rsidR="00112EDC" w:rsidRPr="00E42A54" w:rsidRDefault="00112EDC" w:rsidP="008679FF">
            <w:pPr>
              <w:pStyle w:val="NoSpacing"/>
              <w:rPr>
                <w:color w:val="000000"/>
                <w:szCs w:val="24"/>
              </w:rPr>
            </w:pPr>
            <w:r w:rsidRPr="00E42A54">
              <w:rPr>
                <w:color w:val="000000"/>
                <w:szCs w:val="24"/>
              </w:rPr>
              <w:t>2012</w:t>
            </w:r>
          </w:p>
        </w:tc>
        <w:tc>
          <w:tcPr>
            <w:tcW w:w="960" w:type="dxa"/>
            <w:tcBorders>
              <w:top w:val="nil"/>
              <w:left w:val="nil"/>
              <w:bottom w:val="nil"/>
              <w:right w:val="nil"/>
            </w:tcBorders>
            <w:shd w:val="clear" w:color="auto" w:fill="auto"/>
            <w:noWrap/>
            <w:vAlign w:val="center"/>
            <w:hideMark/>
          </w:tcPr>
          <w:p w14:paraId="689DB7E3"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nil"/>
              <w:left w:val="nil"/>
              <w:bottom w:val="nil"/>
              <w:right w:val="nil"/>
            </w:tcBorders>
            <w:shd w:val="clear" w:color="auto" w:fill="auto"/>
            <w:noWrap/>
            <w:vAlign w:val="center"/>
            <w:hideMark/>
          </w:tcPr>
          <w:p w14:paraId="05A4739C" w14:textId="77777777" w:rsidR="00112EDC" w:rsidRPr="00E42A54" w:rsidRDefault="00112EDC" w:rsidP="008679FF">
            <w:pPr>
              <w:pStyle w:val="NoSpacing"/>
              <w:rPr>
                <w:color w:val="000000"/>
                <w:szCs w:val="24"/>
              </w:rPr>
            </w:pPr>
            <w:r w:rsidRPr="00E42A54">
              <w:rPr>
                <w:color w:val="000000"/>
                <w:szCs w:val="24"/>
              </w:rPr>
              <w:t>9.58</w:t>
            </w:r>
          </w:p>
        </w:tc>
        <w:tc>
          <w:tcPr>
            <w:tcW w:w="848" w:type="dxa"/>
            <w:tcBorders>
              <w:top w:val="nil"/>
              <w:left w:val="nil"/>
              <w:bottom w:val="nil"/>
              <w:right w:val="nil"/>
            </w:tcBorders>
            <w:shd w:val="clear" w:color="auto" w:fill="auto"/>
            <w:noWrap/>
            <w:vAlign w:val="center"/>
            <w:hideMark/>
          </w:tcPr>
          <w:p w14:paraId="10F3C99E"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738A70BC" w14:textId="77777777" w:rsidR="00112EDC" w:rsidRPr="00E42A54" w:rsidRDefault="00112EDC" w:rsidP="008679FF">
            <w:pPr>
              <w:pStyle w:val="NoSpacing"/>
              <w:rPr>
                <w:color w:val="000000"/>
                <w:szCs w:val="24"/>
              </w:rPr>
            </w:pPr>
            <w:r w:rsidRPr="00E42A54">
              <w:rPr>
                <w:color w:val="000000"/>
                <w:szCs w:val="24"/>
              </w:rPr>
              <w:t>0.20</w:t>
            </w:r>
          </w:p>
        </w:tc>
        <w:tc>
          <w:tcPr>
            <w:tcW w:w="960" w:type="dxa"/>
            <w:tcBorders>
              <w:top w:val="nil"/>
              <w:left w:val="nil"/>
              <w:bottom w:val="nil"/>
              <w:right w:val="nil"/>
            </w:tcBorders>
            <w:shd w:val="clear" w:color="auto" w:fill="auto"/>
            <w:noWrap/>
            <w:vAlign w:val="center"/>
            <w:hideMark/>
          </w:tcPr>
          <w:p w14:paraId="2113E14C" w14:textId="77777777" w:rsidR="00112EDC" w:rsidRPr="00E42A54" w:rsidRDefault="00112EDC" w:rsidP="008679FF">
            <w:pPr>
              <w:pStyle w:val="NoSpacing"/>
              <w:rPr>
                <w:color w:val="000000"/>
                <w:szCs w:val="24"/>
              </w:rPr>
            </w:pPr>
            <w:r w:rsidRPr="00E42A54">
              <w:rPr>
                <w:color w:val="000000"/>
                <w:szCs w:val="24"/>
              </w:rPr>
              <w:t>2.23</w:t>
            </w:r>
          </w:p>
        </w:tc>
      </w:tr>
      <w:tr w:rsidR="00112EDC" w:rsidRPr="00112EDC" w14:paraId="085D90EA"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0D548640" w14:textId="77777777" w:rsidR="00112EDC" w:rsidRPr="00E42A54" w:rsidRDefault="00112EDC" w:rsidP="008679FF">
            <w:pPr>
              <w:pStyle w:val="NoSpacing"/>
              <w:rPr>
                <w:color w:val="000000"/>
                <w:szCs w:val="24"/>
              </w:rPr>
            </w:pPr>
            <w:r w:rsidRPr="00E42A54">
              <w:rPr>
                <w:color w:val="000000"/>
                <w:szCs w:val="24"/>
              </w:rPr>
              <w:t>2012</w:t>
            </w:r>
          </w:p>
        </w:tc>
        <w:tc>
          <w:tcPr>
            <w:tcW w:w="960" w:type="dxa"/>
            <w:tcBorders>
              <w:top w:val="nil"/>
              <w:left w:val="nil"/>
              <w:bottom w:val="nil"/>
              <w:right w:val="nil"/>
            </w:tcBorders>
            <w:shd w:val="clear" w:color="auto" w:fill="auto"/>
            <w:noWrap/>
            <w:vAlign w:val="center"/>
            <w:hideMark/>
          </w:tcPr>
          <w:p w14:paraId="7EAF00F7"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1AC4FB05" w14:textId="77777777" w:rsidR="00112EDC" w:rsidRPr="00E42A54" w:rsidRDefault="00112EDC" w:rsidP="008679FF">
            <w:pPr>
              <w:pStyle w:val="NoSpacing"/>
              <w:rPr>
                <w:color w:val="000000"/>
                <w:szCs w:val="24"/>
              </w:rPr>
            </w:pPr>
            <w:r w:rsidRPr="00E42A54">
              <w:rPr>
                <w:color w:val="000000"/>
                <w:szCs w:val="24"/>
              </w:rPr>
              <w:t>8.55</w:t>
            </w:r>
          </w:p>
        </w:tc>
        <w:tc>
          <w:tcPr>
            <w:tcW w:w="848" w:type="dxa"/>
            <w:tcBorders>
              <w:top w:val="nil"/>
              <w:left w:val="nil"/>
              <w:bottom w:val="nil"/>
              <w:right w:val="nil"/>
            </w:tcBorders>
            <w:shd w:val="clear" w:color="auto" w:fill="auto"/>
            <w:noWrap/>
            <w:vAlign w:val="center"/>
            <w:hideMark/>
          </w:tcPr>
          <w:p w14:paraId="11DEA8E4"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2601DD8A" w14:textId="77777777" w:rsidR="00112EDC" w:rsidRPr="00E42A54" w:rsidRDefault="00112EDC" w:rsidP="008679FF">
            <w:pPr>
              <w:pStyle w:val="NoSpacing"/>
              <w:rPr>
                <w:color w:val="000000"/>
                <w:szCs w:val="24"/>
              </w:rPr>
            </w:pPr>
            <w:r w:rsidRPr="00E42A54">
              <w:rPr>
                <w:color w:val="000000"/>
                <w:szCs w:val="24"/>
              </w:rPr>
              <w:t>0.37</w:t>
            </w:r>
          </w:p>
        </w:tc>
        <w:tc>
          <w:tcPr>
            <w:tcW w:w="960" w:type="dxa"/>
            <w:tcBorders>
              <w:top w:val="nil"/>
              <w:left w:val="nil"/>
              <w:bottom w:val="nil"/>
              <w:right w:val="nil"/>
            </w:tcBorders>
            <w:shd w:val="clear" w:color="auto" w:fill="auto"/>
            <w:noWrap/>
            <w:vAlign w:val="center"/>
            <w:hideMark/>
          </w:tcPr>
          <w:p w14:paraId="309CBF24" w14:textId="77777777" w:rsidR="00112EDC" w:rsidRPr="00E42A54" w:rsidRDefault="00112EDC" w:rsidP="008679FF">
            <w:pPr>
              <w:pStyle w:val="NoSpacing"/>
              <w:rPr>
                <w:color w:val="000000"/>
                <w:szCs w:val="24"/>
              </w:rPr>
            </w:pPr>
            <w:r w:rsidRPr="00E42A54">
              <w:rPr>
                <w:color w:val="000000"/>
                <w:szCs w:val="24"/>
              </w:rPr>
              <w:t>1.48</w:t>
            </w:r>
          </w:p>
        </w:tc>
      </w:tr>
      <w:tr w:rsidR="00112EDC" w:rsidRPr="00112EDC" w14:paraId="78328502"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088D0367" w14:textId="77777777" w:rsidR="00112EDC" w:rsidRPr="00E42A54" w:rsidRDefault="00112EDC" w:rsidP="008679FF">
            <w:pPr>
              <w:pStyle w:val="NoSpacing"/>
              <w:rPr>
                <w:color w:val="000000"/>
                <w:szCs w:val="24"/>
              </w:rPr>
            </w:pPr>
            <w:r w:rsidRPr="00E42A54">
              <w:rPr>
                <w:color w:val="000000"/>
                <w:szCs w:val="24"/>
              </w:rPr>
              <w:t>2012</w:t>
            </w:r>
          </w:p>
        </w:tc>
        <w:tc>
          <w:tcPr>
            <w:tcW w:w="960" w:type="dxa"/>
            <w:tcBorders>
              <w:top w:val="nil"/>
              <w:left w:val="nil"/>
              <w:bottom w:val="nil"/>
              <w:right w:val="nil"/>
            </w:tcBorders>
            <w:shd w:val="clear" w:color="auto" w:fill="auto"/>
            <w:noWrap/>
            <w:vAlign w:val="center"/>
            <w:hideMark/>
          </w:tcPr>
          <w:p w14:paraId="24C84835"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3286DF2A" w14:textId="77777777" w:rsidR="00112EDC" w:rsidRPr="00E42A54" w:rsidRDefault="00112EDC" w:rsidP="008679FF">
            <w:pPr>
              <w:pStyle w:val="NoSpacing"/>
              <w:rPr>
                <w:color w:val="000000"/>
                <w:szCs w:val="24"/>
              </w:rPr>
            </w:pPr>
            <w:r w:rsidRPr="00E42A54">
              <w:rPr>
                <w:color w:val="000000"/>
                <w:szCs w:val="24"/>
              </w:rPr>
              <w:t>7.93</w:t>
            </w:r>
          </w:p>
        </w:tc>
        <w:tc>
          <w:tcPr>
            <w:tcW w:w="848" w:type="dxa"/>
            <w:tcBorders>
              <w:top w:val="nil"/>
              <w:left w:val="nil"/>
              <w:bottom w:val="nil"/>
              <w:right w:val="nil"/>
            </w:tcBorders>
            <w:shd w:val="clear" w:color="auto" w:fill="auto"/>
            <w:noWrap/>
            <w:vAlign w:val="center"/>
            <w:hideMark/>
          </w:tcPr>
          <w:p w14:paraId="7B2C13CA" w14:textId="77777777" w:rsidR="00112EDC" w:rsidRPr="00E42A54" w:rsidRDefault="00112EDC" w:rsidP="008679FF">
            <w:pPr>
              <w:pStyle w:val="NoSpacing"/>
              <w:rPr>
                <w:color w:val="000000"/>
                <w:szCs w:val="24"/>
              </w:rPr>
            </w:pPr>
            <w:r w:rsidRPr="00E42A54">
              <w:rPr>
                <w:color w:val="000000"/>
                <w:szCs w:val="24"/>
              </w:rPr>
              <w:t>0.05</w:t>
            </w:r>
          </w:p>
        </w:tc>
        <w:tc>
          <w:tcPr>
            <w:tcW w:w="960" w:type="dxa"/>
            <w:tcBorders>
              <w:top w:val="nil"/>
              <w:left w:val="nil"/>
              <w:bottom w:val="nil"/>
              <w:right w:val="nil"/>
            </w:tcBorders>
            <w:shd w:val="clear" w:color="auto" w:fill="auto"/>
            <w:noWrap/>
            <w:vAlign w:val="center"/>
            <w:hideMark/>
          </w:tcPr>
          <w:p w14:paraId="65001BCD" w14:textId="77777777" w:rsidR="00112EDC" w:rsidRPr="00E42A54" w:rsidRDefault="00112EDC" w:rsidP="008679FF">
            <w:pPr>
              <w:pStyle w:val="NoSpacing"/>
              <w:rPr>
                <w:color w:val="000000"/>
                <w:szCs w:val="24"/>
              </w:rPr>
            </w:pPr>
            <w:r w:rsidRPr="00E42A54">
              <w:rPr>
                <w:color w:val="000000"/>
                <w:szCs w:val="24"/>
              </w:rPr>
              <w:t>0.18</w:t>
            </w:r>
          </w:p>
        </w:tc>
        <w:tc>
          <w:tcPr>
            <w:tcW w:w="960" w:type="dxa"/>
            <w:tcBorders>
              <w:top w:val="nil"/>
              <w:left w:val="nil"/>
              <w:bottom w:val="nil"/>
              <w:right w:val="nil"/>
            </w:tcBorders>
            <w:shd w:val="clear" w:color="auto" w:fill="auto"/>
            <w:noWrap/>
            <w:vAlign w:val="center"/>
            <w:hideMark/>
          </w:tcPr>
          <w:p w14:paraId="50376535" w14:textId="77777777" w:rsidR="00112EDC" w:rsidRPr="00E42A54" w:rsidRDefault="00112EDC" w:rsidP="008679FF">
            <w:pPr>
              <w:pStyle w:val="NoSpacing"/>
              <w:rPr>
                <w:color w:val="000000"/>
                <w:szCs w:val="24"/>
              </w:rPr>
            </w:pPr>
            <w:r w:rsidRPr="00E42A54">
              <w:rPr>
                <w:color w:val="000000"/>
                <w:szCs w:val="24"/>
              </w:rPr>
              <w:t>2.35</w:t>
            </w:r>
          </w:p>
        </w:tc>
      </w:tr>
      <w:tr w:rsidR="00112EDC" w:rsidRPr="00112EDC" w14:paraId="5B0F6821"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45258700" w14:textId="77777777" w:rsidR="00112EDC" w:rsidRPr="00E42A54" w:rsidRDefault="00112EDC" w:rsidP="008679FF">
            <w:pPr>
              <w:pStyle w:val="NoSpacing"/>
              <w:rPr>
                <w:color w:val="000000"/>
                <w:szCs w:val="24"/>
              </w:rPr>
            </w:pPr>
            <w:r w:rsidRPr="00E42A54">
              <w:rPr>
                <w:color w:val="000000"/>
                <w:szCs w:val="24"/>
              </w:rPr>
              <w:t>2012</w:t>
            </w:r>
          </w:p>
        </w:tc>
        <w:tc>
          <w:tcPr>
            <w:tcW w:w="960" w:type="dxa"/>
            <w:tcBorders>
              <w:top w:val="nil"/>
              <w:left w:val="nil"/>
              <w:bottom w:val="nil"/>
              <w:right w:val="nil"/>
            </w:tcBorders>
            <w:shd w:val="clear" w:color="auto" w:fill="auto"/>
            <w:noWrap/>
            <w:vAlign w:val="center"/>
            <w:hideMark/>
          </w:tcPr>
          <w:p w14:paraId="4BB8ECC8"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10609012" w14:textId="77777777" w:rsidR="00112EDC" w:rsidRPr="00E42A54" w:rsidRDefault="00112EDC" w:rsidP="008679FF">
            <w:pPr>
              <w:pStyle w:val="NoSpacing"/>
              <w:rPr>
                <w:color w:val="000000"/>
                <w:szCs w:val="24"/>
              </w:rPr>
            </w:pPr>
            <w:r w:rsidRPr="00E42A54">
              <w:rPr>
                <w:color w:val="000000"/>
                <w:szCs w:val="24"/>
              </w:rPr>
              <w:t>7.57</w:t>
            </w:r>
          </w:p>
        </w:tc>
        <w:tc>
          <w:tcPr>
            <w:tcW w:w="848" w:type="dxa"/>
            <w:tcBorders>
              <w:top w:val="nil"/>
              <w:left w:val="nil"/>
              <w:bottom w:val="nil"/>
              <w:right w:val="nil"/>
            </w:tcBorders>
            <w:shd w:val="clear" w:color="auto" w:fill="auto"/>
            <w:noWrap/>
            <w:vAlign w:val="center"/>
            <w:hideMark/>
          </w:tcPr>
          <w:p w14:paraId="6383CD17" w14:textId="77777777" w:rsidR="00112EDC" w:rsidRPr="00E42A54" w:rsidRDefault="00112EDC" w:rsidP="008679FF">
            <w:pPr>
              <w:pStyle w:val="NoSpacing"/>
              <w:rPr>
                <w:color w:val="000000"/>
                <w:szCs w:val="24"/>
              </w:rPr>
            </w:pPr>
            <w:r w:rsidRPr="00E42A54">
              <w:rPr>
                <w:color w:val="000000"/>
                <w:szCs w:val="24"/>
              </w:rPr>
              <w:t>0.05</w:t>
            </w:r>
          </w:p>
        </w:tc>
        <w:tc>
          <w:tcPr>
            <w:tcW w:w="960" w:type="dxa"/>
            <w:tcBorders>
              <w:top w:val="nil"/>
              <w:left w:val="nil"/>
              <w:bottom w:val="nil"/>
              <w:right w:val="nil"/>
            </w:tcBorders>
            <w:shd w:val="clear" w:color="auto" w:fill="auto"/>
            <w:noWrap/>
            <w:vAlign w:val="center"/>
            <w:hideMark/>
          </w:tcPr>
          <w:p w14:paraId="525FE14B" w14:textId="77777777" w:rsidR="00112EDC" w:rsidRPr="00E42A54" w:rsidRDefault="00112EDC" w:rsidP="008679FF">
            <w:pPr>
              <w:pStyle w:val="NoSpacing"/>
              <w:rPr>
                <w:color w:val="000000"/>
                <w:szCs w:val="24"/>
              </w:rPr>
            </w:pPr>
            <w:r w:rsidRPr="00E42A54">
              <w:rPr>
                <w:color w:val="000000"/>
                <w:szCs w:val="24"/>
              </w:rPr>
              <w:t>0.16</w:t>
            </w:r>
          </w:p>
        </w:tc>
        <w:tc>
          <w:tcPr>
            <w:tcW w:w="960" w:type="dxa"/>
            <w:tcBorders>
              <w:top w:val="nil"/>
              <w:left w:val="nil"/>
              <w:bottom w:val="nil"/>
              <w:right w:val="nil"/>
            </w:tcBorders>
            <w:shd w:val="clear" w:color="auto" w:fill="auto"/>
            <w:noWrap/>
            <w:vAlign w:val="center"/>
            <w:hideMark/>
          </w:tcPr>
          <w:p w14:paraId="4352D057" w14:textId="77777777" w:rsidR="00112EDC" w:rsidRPr="00E42A54" w:rsidRDefault="00112EDC" w:rsidP="008679FF">
            <w:pPr>
              <w:pStyle w:val="NoSpacing"/>
              <w:rPr>
                <w:color w:val="000000"/>
                <w:szCs w:val="24"/>
              </w:rPr>
            </w:pPr>
            <w:r w:rsidRPr="00E42A54">
              <w:rPr>
                <w:color w:val="000000"/>
                <w:szCs w:val="24"/>
              </w:rPr>
              <w:t>2.53</w:t>
            </w:r>
          </w:p>
        </w:tc>
      </w:tr>
      <w:tr w:rsidR="00112EDC" w:rsidRPr="00112EDC" w14:paraId="58D7831B"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791AA19C" w14:textId="77777777" w:rsidR="00112EDC" w:rsidRPr="00E42A54" w:rsidRDefault="00112EDC" w:rsidP="008679FF">
            <w:pPr>
              <w:pStyle w:val="NoSpacing"/>
              <w:rPr>
                <w:color w:val="000000"/>
                <w:szCs w:val="24"/>
              </w:rPr>
            </w:pPr>
            <w:r w:rsidRPr="00E42A54">
              <w:rPr>
                <w:color w:val="000000"/>
                <w:szCs w:val="24"/>
              </w:rPr>
              <w:t>2013</w:t>
            </w:r>
          </w:p>
        </w:tc>
        <w:tc>
          <w:tcPr>
            <w:tcW w:w="960" w:type="dxa"/>
            <w:tcBorders>
              <w:top w:val="nil"/>
              <w:left w:val="nil"/>
              <w:bottom w:val="nil"/>
              <w:right w:val="nil"/>
            </w:tcBorders>
            <w:shd w:val="clear" w:color="auto" w:fill="auto"/>
            <w:noWrap/>
            <w:vAlign w:val="center"/>
            <w:hideMark/>
          </w:tcPr>
          <w:p w14:paraId="0DB6E5E5"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nil"/>
              <w:left w:val="nil"/>
              <w:bottom w:val="nil"/>
              <w:right w:val="nil"/>
            </w:tcBorders>
            <w:shd w:val="clear" w:color="auto" w:fill="auto"/>
            <w:noWrap/>
            <w:vAlign w:val="center"/>
            <w:hideMark/>
          </w:tcPr>
          <w:p w14:paraId="3C9E3E5C" w14:textId="77777777" w:rsidR="00112EDC" w:rsidRPr="00E42A54" w:rsidRDefault="00112EDC" w:rsidP="008679FF">
            <w:pPr>
              <w:pStyle w:val="NoSpacing"/>
              <w:rPr>
                <w:color w:val="000000"/>
                <w:szCs w:val="24"/>
              </w:rPr>
            </w:pPr>
            <w:r w:rsidRPr="00E42A54">
              <w:rPr>
                <w:color w:val="000000"/>
                <w:szCs w:val="24"/>
              </w:rPr>
              <w:t>8.89</w:t>
            </w:r>
          </w:p>
        </w:tc>
        <w:tc>
          <w:tcPr>
            <w:tcW w:w="848" w:type="dxa"/>
            <w:tcBorders>
              <w:top w:val="nil"/>
              <w:left w:val="nil"/>
              <w:bottom w:val="nil"/>
              <w:right w:val="nil"/>
            </w:tcBorders>
            <w:shd w:val="clear" w:color="auto" w:fill="auto"/>
            <w:noWrap/>
            <w:vAlign w:val="center"/>
            <w:hideMark/>
          </w:tcPr>
          <w:p w14:paraId="1DCB23CB"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1528EA75" w14:textId="77777777" w:rsidR="00112EDC" w:rsidRPr="00E42A54" w:rsidRDefault="00112EDC" w:rsidP="008679FF">
            <w:pPr>
              <w:pStyle w:val="NoSpacing"/>
              <w:rPr>
                <w:color w:val="000000"/>
                <w:szCs w:val="24"/>
              </w:rPr>
            </w:pPr>
            <w:r w:rsidRPr="00E42A54">
              <w:rPr>
                <w:color w:val="000000"/>
                <w:szCs w:val="24"/>
              </w:rPr>
              <w:t>0.19</w:t>
            </w:r>
          </w:p>
        </w:tc>
        <w:tc>
          <w:tcPr>
            <w:tcW w:w="960" w:type="dxa"/>
            <w:tcBorders>
              <w:top w:val="nil"/>
              <w:left w:val="nil"/>
              <w:bottom w:val="nil"/>
              <w:right w:val="nil"/>
            </w:tcBorders>
            <w:shd w:val="clear" w:color="auto" w:fill="auto"/>
            <w:noWrap/>
            <w:vAlign w:val="center"/>
            <w:hideMark/>
          </w:tcPr>
          <w:p w14:paraId="5DB73776" w14:textId="77777777" w:rsidR="00112EDC" w:rsidRPr="00E42A54" w:rsidRDefault="00112EDC" w:rsidP="008679FF">
            <w:pPr>
              <w:pStyle w:val="NoSpacing"/>
              <w:rPr>
                <w:color w:val="000000"/>
                <w:szCs w:val="24"/>
              </w:rPr>
            </w:pPr>
            <w:r w:rsidRPr="00E42A54">
              <w:rPr>
                <w:color w:val="000000"/>
                <w:szCs w:val="24"/>
              </w:rPr>
              <w:t>2.27</w:t>
            </w:r>
          </w:p>
        </w:tc>
      </w:tr>
      <w:tr w:rsidR="00112EDC" w:rsidRPr="00112EDC" w14:paraId="244B2E9D"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5ECD8975" w14:textId="77777777" w:rsidR="00112EDC" w:rsidRPr="00E42A54" w:rsidRDefault="00112EDC" w:rsidP="008679FF">
            <w:pPr>
              <w:pStyle w:val="NoSpacing"/>
              <w:rPr>
                <w:color w:val="000000"/>
                <w:szCs w:val="24"/>
              </w:rPr>
            </w:pPr>
            <w:r w:rsidRPr="00E42A54">
              <w:rPr>
                <w:color w:val="000000"/>
                <w:szCs w:val="24"/>
              </w:rPr>
              <w:t>2013</w:t>
            </w:r>
          </w:p>
        </w:tc>
        <w:tc>
          <w:tcPr>
            <w:tcW w:w="960" w:type="dxa"/>
            <w:tcBorders>
              <w:top w:val="nil"/>
              <w:left w:val="nil"/>
              <w:bottom w:val="nil"/>
              <w:right w:val="nil"/>
            </w:tcBorders>
            <w:shd w:val="clear" w:color="auto" w:fill="auto"/>
            <w:noWrap/>
            <w:vAlign w:val="center"/>
            <w:hideMark/>
          </w:tcPr>
          <w:p w14:paraId="0E1F47DD"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6114B483" w14:textId="77777777" w:rsidR="00112EDC" w:rsidRPr="00E42A54" w:rsidRDefault="00112EDC" w:rsidP="008679FF">
            <w:pPr>
              <w:pStyle w:val="NoSpacing"/>
              <w:rPr>
                <w:color w:val="000000"/>
                <w:szCs w:val="24"/>
              </w:rPr>
            </w:pPr>
            <w:r w:rsidRPr="00E42A54">
              <w:rPr>
                <w:color w:val="000000"/>
                <w:szCs w:val="24"/>
              </w:rPr>
              <w:t>7.94</w:t>
            </w:r>
          </w:p>
        </w:tc>
        <w:tc>
          <w:tcPr>
            <w:tcW w:w="848" w:type="dxa"/>
            <w:tcBorders>
              <w:top w:val="nil"/>
              <w:left w:val="nil"/>
              <w:bottom w:val="nil"/>
              <w:right w:val="nil"/>
            </w:tcBorders>
            <w:shd w:val="clear" w:color="auto" w:fill="auto"/>
            <w:noWrap/>
            <w:vAlign w:val="center"/>
            <w:hideMark/>
          </w:tcPr>
          <w:p w14:paraId="725DED83" w14:textId="77777777" w:rsidR="00112EDC" w:rsidRPr="00E42A54" w:rsidRDefault="00112EDC" w:rsidP="008679FF">
            <w:pPr>
              <w:pStyle w:val="NoSpacing"/>
              <w:rPr>
                <w:color w:val="000000"/>
                <w:szCs w:val="24"/>
              </w:rPr>
            </w:pPr>
            <w:r w:rsidRPr="00E42A54">
              <w:rPr>
                <w:color w:val="000000"/>
                <w:szCs w:val="24"/>
              </w:rPr>
              <w:t>0.05</w:t>
            </w:r>
          </w:p>
        </w:tc>
        <w:tc>
          <w:tcPr>
            <w:tcW w:w="960" w:type="dxa"/>
            <w:tcBorders>
              <w:top w:val="nil"/>
              <w:left w:val="nil"/>
              <w:bottom w:val="nil"/>
              <w:right w:val="nil"/>
            </w:tcBorders>
            <w:shd w:val="clear" w:color="auto" w:fill="auto"/>
            <w:noWrap/>
            <w:vAlign w:val="center"/>
            <w:hideMark/>
          </w:tcPr>
          <w:p w14:paraId="186DB853" w14:textId="77777777" w:rsidR="00112EDC" w:rsidRPr="00E42A54" w:rsidRDefault="00112EDC" w:rsidP="008679FF">
            <w:pPr>
              <w:pStyle w:val="NoSpacing"/>
              <w:rPr>
                <w:color w:val="000000"/>
                <w:szCs w:val="24"/>
              </w:rPr>
            </w:pPr>
            <w:r w:rsidRPr="00E42A54">
              <w:rPr>
                <w:color w:val="000000"/>
                <w:szCs w:val="24"/>
              </w:rPr>
              <w:t>0.36</w:t>
            </w:r>
          </w:p>
        </w:tc>
        <w:tc>
          <w:tcPr>
            <w:tcW w:w="960" w:type="dxa"/>
            <w:tcBorders>
              <w:top w:val="nil"/>
              <w:left w:val="nil"/>
              <w:bottom w:val="nil"/>
              <w:right w:val="nil"/>
            </w:tcBorders>
            <w:shd w:val="clear" w:color="auto" w:fill="auto"/>
            <w:noWrap/>
            <w:vAlign w:val="center"/>
            <w:hideMark/>
          </w:tcPr>
          <w:p w14:paraId="4444F3D6" w14:textId="77777777" w:rsidR="00112EDC" w:rsidRPr="00E42A54" w:rsidRDefault="00112EDC" w:rsidP="008679FF">
            <w:pPr>
              <w:pStyle w:val="NoSpacing"/>
              <w:rPr>
                <w:color w:val="000000"/>
                <w:szCs w:val="24"/>
              </w:rPr>
            </w:pPr>
            <w:r w:rsidRPr="00E42A54">
              <w:rPr>
                <w:color w:val="000000"/>
                <w:szCs w:val="24"/>
              </w:rPr>
              <w:t>1.50</w:t>
            </w:r>
          </w:p>
        </w:tc>
      </w:tr>
      <w:tr w:rsidR="00112EDC" w:rsidRPr="00112EDC" w14:paraId="25F881B5"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7347F6A7" w14:textId="77777777" w:rsidR="00112EDC" w:rsidRPr="00E42A54" w:rsidRDefault="00112EDC" w:rsidP="008679FF">
            <w:pPr>
              <w:pStyle w:val="NoSpacing"/>
              <w:rPr>
                <w:color w:val="000000"/>
                <w:szCs w:val="24"/>
              </w:rPr>
            </w:pPr>
            <w:r w:rsidRPr="00E42A54">
              <w:rPr>
                <w:color w:val="000000"/>
                <w:szCs w:val="24"/>
              </w:rPr>
              <w:t>2013</w:t>
            </w:r>
          </w:p>
        </w:tc>
        <w:tc>
          <w:tcPr>
            <w:tcW w:w="960" w:type="dxa"/>
            <w:tcBorders>
              <w:top w:val="nil"/>
              <w:left w:val="nil"/>
              <w:bottom w:val="nil"/>
              <w:right w:val="nil"/>
            </w:tcBorders>
            <w:shd w:val="clear" w:color="auto" w:fill="auto"/>
            <w:noWrap/>
            <w:vAlign w:val="center"/>
            <w:hideMark/>
          </w:tcPr>
          <w:p w14:paraId="2ACE58A9"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492C05C3" w14:textId="77777777" w:rsidR="00112EDC" w:rsidRPr="00E42A54" w:rsidRDefault="00112EDC" w:rsidP="008679FF">
            <w:pPr>
              <w:pStyle w:val="NoSpacing"/>
              <w:rPr>
                <w:color w:val="000000"/>
                <w:szCs w:val="24"/>
              </w:rPr>
            </w:pPr>
            <w:r w:rsidRPr="00E42A54">
              <w:rPr>
                <w:color w:val="000000"/>
                <w:szCs w:val="24"/>
              </w:rPr>
              <w:t>7.37</w:t>
            </w:r>
          </w:p>
        </w:tc>
        <w:tc>
          <w:tcPr>
            <w:tcW w:w="848" w:type="dxa"/>
            <w:tcBorders>
              <w:top w:val="nil"/>
              <w:left w:val="nil"/>
              <w:bottom w:val="nil"/>
              <w:right w:val="nil"/>
            </w:tcBorders>
            <w:shd w:val="clear" w:color="auto" w:fill="auto"/>
            <w:noWrap/>
            <w:vAlign w:val="center"/>
            <w:hideMark/>
          </w:tcPr>
          <w:p w14:paraId="38E5F6C9" w14:textId="77777777" w:rsidR="00112EDC" w:rsidRPr="00E42A54" w:rsidRDefault="00112EDC" w:rsidP="008679FF">
            <w:pPr>
              <w:pStyle w:val="NoSpacing"/>
              <w:rPr>
                <w:color w:val="000000"/>
                <w:szCs w:val="24"/>
              </w:rPr>
            </w:pPr>
            <w:r w:rsidRPr="00E42A54">
              <w:rPr>
                <w:color w:val="000000"/>
                <w:szCs w:val="24"/>
              </w:rPr>
              <w:t>0.05</w:t>
            </w:r>
          </w:p>
        </w:tc>
        <w:tc>
          <w:tcPr>
            <w:tcW w:w="960" w:type="dxa"/>
            <w:tcBorders>
              <w:top w:val="nil"/>
              <w:left w:val="nil"/>
              <w:bottom w:val="nil"/>
              <w:right w:val="nil"/>
            </w:tcBorders>
            <w:shd w:val="clear" w:color="auto" w:fill="auto"/>
            <w:noWrap/>
            <w:vAlign w:val="center"/>
            <w:hideMark/>
          </w:tcPr>
          <w:p w14:paraId="69395AE7" w14:textId="77777777" w:rsidR="00112EDC" w:rsidRPr="00E42A54" w:rsidRDefault="00112EDC" w:rsidP="008679FF">
            <w:pPr>
              <w:pStyle w:val="NoSpacing"/>
              <w:rPr>
                <w:color w:val="000000"/>
                <w:szCs w:val="24"/>
              </w:rPr>
            </w:pPr>
            <w:r w:rsidRPr="00E42A54">
              <w:rPr>
                <w:color w:val="000000"/>
                <w:szCs w:val="24"/>
              </w:rPr>
              <w:t>0.18</w:t>
            </w:r>
          </w:p>
        </w:tc>
        <w:tc>
          <w:tcPr>
            <w:tcW w:w="960" w:type="dxa"/>
            <w:tcBorders>
              <w:top w:val="nil"/>
              <w:left w:val="nil"/>
              <w:bottom w:val="nil"/>
              <w:right w:val="nil"/>
            </w:tcBorders>
            <w:shd w:val="clear" w:color="auto" w:fill="auto"/>
            <w:noWrap/>
            <w:vAlign w:val="center"/>
            <w:hideMark/>
          </w:tcPr>
          <w:p w14:paraId="5861409C" w14:textId="77777777" w:rsidR="00112EDC" w:rsidRPr="00E42A54" w:rsidRDefault="00112EDC" w:rsidP="008679FF">
            <w:pPr>
              <w:pStyle w:val="NoSpacing"/>
              <w:rPr>
                <w:color w:val="000000"/>
                <w:szCs w:val="24"/>
              </w:rPr>
            </w:pPr>
            <w:r w:rsidRPr="00E42A54">
              <w:rPr>
                <w:color w:val="000000"/>
                <w:szCs w:val="24"/>
              </w:rPr>
              <w:t>2.39</w:t>
            </w:r>
          </w:p>
        </w:tc>
      </w:tr>
      <w:tr w:rsidR="00112EDC" w:rsidRPr="00112EDC" w14:paraId="07873F84"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4994B8D9" w14:textId="77777777" w:rsidR="00112EDC" w:rsidRPr="00E42A54" w:rsidRDefault="00112EDC" w:rsidP="008679FF">
            <w:pPr>
              <w:pStyle w:val="NoSpacing"/>
              <w:rPr>
                <w:color w:val="000000"/>
                <w:szCs w:val="24"/>
              </w:rPr>
            </w:pPr>
            <w:r w:rsidRPr="00E42A54">
              <w:rPr>
                <w:color w:val="000000"/>
                <w:szCs w:val="24"/>
              </w:rPr>
              <w:t>2013</w:t>
            </w:r>
          </w:p>
        </w:tc>
        <w:tc>
          <w:tcPr>
            <w:tcW w:w="960" w:type="dxa"/>
            <w:tcBorders>
              <w:top w:val="nil"/>
              <w:left w:val="nil"/>
              <w:bottom w:val="nil"/>
              <w:right w:val="nil"/>
            </w:tcBorders>
            <w:shd w:val="clear" w:color="auto" w:fill="auto"/>
            <w:noWrap/>
            <w:vAlign w:val="center"/>
            <w:hideMark/>
          </w:tcPr>
          <w:p w14:paraId="69842A3B"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0E550BA1" w14:textId="77777777" w:rsidR="00112EDC" w:rsidRPr="00E42A54" w:rsidRDefault="00112EDC" w:rsidP="008679FF">
            <w:pPr>
              <w:pStyle w:val="NoSpacing"/>
              <w:rPr>
                <w:color w:val="000000"/>
                <w:szCs w:val="24"/>
              </w:rPr>
            </w:pPr>
            <w:r w:rsidRPr="00E42A54">
              <w:rPr>
                <w:color w:val="000000"/>
                <w:szCs w:val="24"/>
              </w:rPr>
              <w:t>7.03</w:t>
            </w:r>
          </w:p>
        </w:tc>
        <w:tc>
          <w:tcPr>
            <w:tcW w:w="848" w:type="dxa"/>
            <w:tcBorders>
              <w:top w:val="nil"/>
              <w:left w:val="nil"/>
              <w:bottom w:val="nil"/>
              <w:right w:val="nil"/>
            </w:tcBorders>
            <w:shd w:val="clear" w:color="auto" w:fill="auto"/>
            <w:noWrap/>
            <w:vAlign w:val="center"/>
            <w:hideMark/>
          </w:tcPr>
          <w:p w14:paraId="6FABCC11" w14:textId="77777777" w:rsidR="00112EDC" w:rsidRPr="00E42A54" w:rsidRDefault="00112EDC" w:rsidP="008679FF">
            <w:pPr>
              <w:pStyle w:val="NoSpacing"/>
              <w:rPr>
                <w:color w:val="000000"/>
                <w:szCs w:val="24"/>
              </w:rPr>
            </w:pPr>
            <w:r w:rsidRPr="00E42A54">
              <w:rPr>
                <w:color w:val="000000"/>
                <w:szCs w:val="24"/>
              </w:rPr>
              <w:t>0.05</w:t>
            </w:r>
          </w:p>
        </w:tc>
        <w:tc>
          <w:tcPr>
            <w:tcW w:w="960" w:type="dxa"/>
            <w:tcBorders>
              <w:top w:val="nil"/>
              <w:left w:val="nil"/>
              <w:bottom w:val="nil"/>
              <w:right w:val="nil"/>
            </w:tcBorders>
            <w:shd w:val="clear" w:color="auto" w:fill="auto"/>
            <w:noWrap/>
            <w:vAlign w:val="center"/>
            <w:hideMark/>
          </w:tcPr>
          <w:p w14:paraId="2CC0AB4D" w14:textId="77777777" w:rsidR="00112EDC" w:rsidRPr="00E42A54" w:rsidRDefault="00112EDC" w:rsidP="008679FF">
            <w:pPr>
              <w:pStyle w:val="NoSpacing"/>
              <w:rPr>
                <w:color w:val="000000"/>
                <w:szCs w:val="24"/>
              </w:rPr>
            </w:pPr>
            <w:r w:rsidRPr="00E42A54">
              <w:rPr>
                <w:color w:val="000000"/>
                <w:szCs w:val="24"/>
              </w:rPr>
              <w:t>0.16</w:t>
            </w:r>
          </w:p>
        </w:tc>
        <w:tc>
          <w:tcPr>
            <w:tcW w:w="960" w:type="dxa"/>
            <w:tcBorders>
              <w:top w:val="nil"/>
              <w:left w:val="nil"/>
              <w:bottom w:val="nil"/>
              <w:right w:val="nil"/>
            </w:tcBorders>
            <w:shd w:val="clear" w:color="auto" w:fill="auto"/>
            <w:noWrap/>
            <w:vAlign w:val="center"/>
            <w:hideMark/>
          </w:tcPr>
          <w:p w14:paraId="76787E03" w14:textId="77777777" w:rsidR="00112EDC" w:rsidRPr="00E42A54" w:rsidRDefault="00112EDC" w:rsidP="008679FF">
            <w:pPr>
              <w:pStyle w:val="NoSpacing"/>
              <w:rPr>
                <w:color w:val="000000"/>
                <w:szCs w:val="24"/>
              </w:rPr>
            </w:pPr>
            <w:r w:rsidRPr="00E42A54">
              <w:rPr>
                <w:color w:val="000000"/>
                <w:szCs w:val="24"/>
              </w:rPr>
              <w:t>2.57</w:t>
            </w:r>
          </w:p>
        </w:tc>
      </w:tr>
      <w:tr w:rsidR="00112EDC" w:rsidRPr="00112EDC" w14:paraId="2774967D"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6A9C5955" w14:textId="77777777" w:rsidR="00112EDC" w:rsidRPr="00E42A54" w:rsidRDefault="00112EDC" w:rsidP="008679FF">
            <w:pPr>
              <w:pStyle w:val="NoSpacing"/>
              <w:rPr>
                <w:color w:val="000000"/>
                <w:szCs w:val="24"/>
              </w:rPr>
            </w:pPr>
            <w:r w:rsidRPr="00E42A54">
              <w:rPr>
                <w:color w:val="000000"/>
                <w:szCs w:val="24"/>
              </w:rPr>
              <w:t>2014</w:t>
            </w:r>
          </w:p>
        </w:tc>
        <w:tc>
          <w:tcPr>
            <w:tcW w:w="960" w:type="dxa"/>
            <w:tcBorders>
              <w:top w:val="nil"/>
              <w:left w:val="nil"/>
              <w:bottom w:val="nil"/>
              <w:right w:val="nil"/>
            </w:tcBorders>
            <w:shd w:val="clear" w:color="auto" w:fill="auto"/>
            <w:noWrap/>
            <w:vAlign w:val="center"/>
            <w:hideMark/>
          </w:tcPr>
          <w:p w14:paraId="0B1BFC6E"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nil"/>
              <w:left w:val="nil"/>
              <w:bottom w:val="nil"/>
              <w:right w:val="nil"/>
            </w:tcBorders>
            <w:shd w:val="clear" w:color="auto" w:fill="auto"/>
            <w:noWrap/>
            <w:vAlign w:val="center"/>
            <w:hideMark/>
          </w:tcPr>
          <w:p w14:paraId="4BAFC6AD" w14:textId="77777777" w:rsidR="00112EDC" w:rsidRPr="00E42A54" w:rsidRDefault="00112EDC" w:rsidP="008679FF">
            <w:pPr>
              <w:pStyle w:val="NoSpacing"/>
              <w:rPr>
                <w:color w:val="000000"/>
                <w:szCs w:val="24"/>
              </w:rPr>
            </w:pPr>
            <w:r w:rsidRPr="00E42A54">
              <w:rPr>
                <w:color w:val="000000"/>
                <w:szCs w:val="24"/>
              </w:rPr>
              <w:t>10.34</w:t>
            </w:r>
          </w:p>
        </w:tc>
        <w:tc>
          <w:tcPr>
            <w:tcW w:w="848" w:type="dxa"/>
            <w:tcBorders>
              <w:top w:val="nil"/>
              <w:left w:val="nil"/>
              <w:bottom w:val="nil"/>
              <w:right w:val="nil"/>
            </w:tcBorders>
            <w:shd w:val="clear" w:color="auto" w:fill="auto"/>
            <w:noWrap/>
            <w:vAlign w:val="center"/>
            <w:hideMark/>
          </w:tcPr>
          <w:p w14:paraId="3165B5F6"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2602736A" w14:textId="77777777" w:rsidR="00112EDC" w:rsidRPr="00E42A54" w:rsidRDefault="00112EDC" w:rsidP="008679FF">
            <w:pPr>
              <w:pStyle w:val="NoSpacing"/>
              <w:rPr>
                <w:color w:val="000000"/>
                <w:szCs w:val="24"/>
              </w:rPr>
            </w:pPr>
            <w:r w:rsidRPr="00E42A54">
              <w:rPr>
                <w:color w:val="000000"/>
                <w:szCs w:val="24"/>
              </w:rPr>
              <w:t>0.22</w:t>
            </w:r>
          </w:p>
        </w:tc>
        <w:tc>
          <w:tcPr>
            <w:tcW w:w="960" w:type="dxa"/>
            <w:tcBorders>
              <w:top w:val="nil"/>
              <w:left w:val="nil"/>
              <w:bottom w:val="nil"/>
              <w:right w:val="nil"/>
            </w:tcBorders>
            <w:shd w:val="clear" w:color="auto" w:fill="auto"/>
            <w:noWrap/>
            <w:vAlign w:val="center"/>
            <w:hideMark/>
          </w:tcPr>
          <w:p w14:paraId="47126334" w14:textId="77777777" w:rsidR="00112EDC" w:rsidRPr="00E42A54" w:rsidRDefault="00112EDC" w:rsidP="008679FF">
            <w:pPr>
              <w:pStyle w:val="NoSpacing"/>
              <w:rPr>
                <w:color w:val="000000"/>
                <w:szCs w:val="24"/>
              </w:rPr>
            </w:pPr>
            <w:r w:rsidRPr="00E42A54">
              <w:rPr>
                <w:color w:val="000000"/>
                <w:szCs w:val="24"/>
              </w:rPr>
              <w:t>2.08</w:t>
            </w:r>
          </w:p>
        </w:tc>
      </w:tr>
      <w:tr w:rsidR="00112EDC" w:rsidRPr="00112EDC" w14:paraId="4B0CCA05"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3EBDEFA9" w14:textId="77777777" w:rsidR="00112EDC" w:rsidRPr="00E42A54" w:rsidRDefault="00112EDC" w:rsidP="008679FF">
            <w:pPr>
              <w:pStyle w:val="NoSpacing"/>
              <w:rPr>
                <w:color w:val="000000"/>
                <w:szCs w:val="24"/>
              </w:rPr>
            </w:pPr>
            <w:r w:rsidRPr="00E42A54">
              <w:rPr>
                <w:color w:val="000000"/>
                <w:szCs w:val="24"/>
              </w:rPr>
              <w:t>2014</w:t>
            </w:r>
          </w:p>
        </w:tc>
        <w:tc>
          <w:tcPr>
            <w:tcW w:w="960" w:type="dxa"/>
            <w:tcBorders>
              <w:top w:val="nil"/>
              <w:left w:val="nil"/>
              <w:bottom w:val="nil"/>
              <w:right w:val="nil"/>
            </w:tcBorders>
            <w:shd w:val="clear" w:color="auto" w:fill="auto"/>
            <w:noWrap/>
            <w:vAlign w:val="center"/>
            <w:hideMark/>
          </w:tcPr>
          <w:p w14:paraId="179FED5B"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6D61700E" w14:textId="77777777" w:rsidR="00112EDC" w:rsidRPr="00E42A54" w:rsidRDefault="00112EDC" w:rsidP="008679FF">
            <w:pPr>
              <w:pStyle w:val="NoSpacing"/>
              <w:rPr>
                <w:color w:val="000000"/>
                <w:szCs w:val="24"/>
              </w:rPr>
            </w:pPr>
            <w:r w:rsidRPr="00E42A54">
              <w:rPr>
                <w:color w:val="000000"/>
                <w:szCs w:val="24"/>
              </w:rPr>
              <w:t>9.24</w:t>
            </w:r>
          </w:p>
        </w:tc>
        <w:tc>
          <w:tcPr>
            <w:tcW w:w="848" w:type="dxa"/>
            <w:tcBorders>
              <w:top w:val="nil"/>
              <w:left w:val="nil"/>
              <w:bottom w:val="nil"/>
              <w:right w:val="nil"/>
            </w:tcBorders>
            <w:shd w:val="clear" w:color="auto" w:fill="auto"/>
            <w:noWrap/>
            <w:vAlign w:val="center"/>
            <w:hideMark/>
          </w:tcPr>
          <w:p w14:paraId="4E14CB89"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0ED129C1" w14:textId="77777777" w:rsidR="00112EDC" w:rsidRPr="00E42A54" w:rsidRDefault="00112EDC" w:rsidP="008679FF">
            <w:pPr>
              <w:pStyle w:val="NoSpacing"/>
              <w:rPr>
                <w:color w:val="000000"/>
                <w:szCs w:val="24"/>
              </w:rPr>
            </w:pPr>
            <w:r w:rsidRPr="00E42A54">
              <w:rPr>
                <w:color w:val="000000"/>
                <w:szCs w:val="24"/>
              </w:rPr>
              <w:t>0.41</w:t>
            </w:r>
          </w:p>
        </w:tc>
        <w:tc>
          <w:tcPr>
            <w:tcW w:w="960" w:type="dxa"/>
            <w:tcBorders>
              <w:top w:val="nil"/>
              <w:left w:val="nil"/>
              <w:bottom w:val="nil"/>
              <w:right w:val="nil"/>
            </w:tcBorders>
            <w:shd w:val="clear" w:color="auto" w:fill="auto"/>
            <w:noWrap/>
            <w:vAlign w:val="center"/>
            <w:hideMark/>
          </w:tcPr>
          <w:p w14:paraId="093B8292" w14:textId="77777777" w:rsidR="00112EDC" w:rsidRPr="00E42A54" w:rsidRDefault="00112EDC" w:rsidP="008679FF">
            <w:pPr>
              <w:pStyle w:val="NoSpacing"/>
              <w:rPr>
                <w:color w:val="000000"/>
                <w:szCs w:val="24"/>
              </w:rPr>
            </w:pPr>
            <w:r w:rsidRPr="00E42A54">
              <w:rPr>
                <w:color w:val="000000"/>
                <w:szCs w:val="24"/>
              </w:rPr>
              <w:t>1.39</w:t>
            </w:r>
          </w:p>
        </w:tc>
      </w:tr>
      <w:tr w:rsidR="00112EDC" w:rsidRPr="00112EDC" w14:paraId="32549C9C"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44AEF762" w14:textId="77777777" w:rsidR="00112EDC" w:rsidRPr="00E42A54" w:rsidRDefault="00112EDC" w:rsidP="008679FF">
            <w:pPr>
              <w:pStyle w:val="NoSpacing"/>
              <w:rPr>
                <w:color w:val="000000"/>
                <w:szCs w:val="24"/>
              </w:rPr>
            </w:pPr>
            <w:r w:rsidRPr="00E42A54">
              <w:rPr>
                <w:color w:val="000000"/>
                <w:szCs w:val="24"/>
              </w:rPr>
              <w:t>2014</w:t>
            </w:r>
          </w:p>
        </w:tc>
        <w:tc>
          <w:tcPr>
            <w:tcW w:w="960" w:type="dxa"/>
            <w:tcBorders>
              <w:top w:val="nil"/>
              <w:left w:val="nil"/>
              <w:bottom w:val="nil"/>
              <w:right w:val="nil"/>
            </w:tcBorders>
            <w:shd w:val="clear" w:color="auto" w:fill="auto"/>
            <w:noWrap/>
            <w:vAlign w:val="center"/>
            <w:hideMark/>
          </w:tcPr>
          <w:p w14:paraId="07555514"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6FAD9802" w14:textId="77777777" w:rsidR="00112EDC" w:rsidRPr="00E42A54" w:rsidRDefault="00112EDC" w:rsidP="008679FF">
            <w:pPr>
              <w:pStyle w:val="NoSpacing"/>
              <w:rPr>
                <w:color w:val="000000"/>
                <w:szCs w:val="24"/>
              </w:rPr>
            </w:pPr>
            <w:r w:rsidRPr="00E42A54">
              <w:rPr>
                <w:color w:val="000000"/>
                <w:szCs w:val="24"/>
              </w:rPr>
              <w:t>8.57</w:t>
            </w:r>
          </w:p>
        </w:tc>
        <w:tc>
          <w:tcPr>
            <w:tcW w:w="848" w:type="dxa"/>
            <w:tcBorders>
              <w:top w:val="nil"/>
              <w:left w:val="nil"/>
              <w:bottom w:val="nil"/>
              <w:right w:val="nil"/>
            </w:tcBorders>
            <w:shd w:val="clear" w:color="auto" w:fill="auto"/>
            <w:noWrap/>
            <w:vAlign w:val="center"/>
            <w:hideMark/>
          </w:tcPr>
          <w:p w14:paraId="71AD8A52"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29A066E6" w14:textId="77777777" w:rsidR="00112EDC" w:rsidRPr="00E42A54" w:rsidRDefault="00112EDC" w:rsidP="008679FF">
            <w:pPr>
              <w:pStyle w:val="NoSpacing"/>
              <w:rPr>
                <w:color w:val="000000"/>
                <w:szCs w:val="24"/>
              </w:rPr>
            </w:pPr>
            <w:r w:rsidRPr="00E42A54">
              <w:rPr>
                <w:color w:val="000000"/>
                <w:szCs w:val="24"/>
              </w:rPr>
              <w:t>0.20</w:t>
            </w:r>
          </w:p>
        </w:tc>
        <w:tc>
          <w:tcPr>
            <w:tcW w:w="960" w:type="dxa"/>
            <w:tcBorders>
              <w:top w:val="nil"/>
              <w:left w:val="nil"/>
              <w:bottom w:val="nil"/>
              <w:right w:val="nil"/>
            </w:tcBorders>
            <w:shd w:val="clear" w:color="auto" w:fill="auto"/>
            <w:noWrap/>
            <w:vAlign w:val="center"/>
            <w:hideMark/>
          </w:tcPr>
          <w:p w14:paraId="099849D1" w14:textId="77777777" w:rsidR="00112EDC" w:rsidRPr="00E42A54" w:rsidRDefault="00112EDC" w:rsidP="008679FF">
            <w:pPr>
              <w:pStyle w:val="NoSpacing"/>
              <w:rPr>
                <w:color w:val="000000"/>
                <w:szCs w:val="24"/>
              </w:rPr>
            </w:pPr>
            <w:r w:rsidRPr="00E42A54">
              <w:rPr>
                <w:color w:val="000000"/>
                <w:szCs w:val="24"/>
              </w:rPr>
              <w:t>2.20</w:t>
            </w:r>
          </w:p>
        </w:tc>
      </w:tr>
      <w:tr w:rsidR="00112EDC" w:rsidRPr="00112EDC" w14:paraId="03F6752C"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7308E3A9" w14:textId="77777777" w:rsidR="00112EDC" w:rsidRPr="00E42A54" w:rsidRDefault="00112EDC" w:rsidP="008679FF">
            <w:pPr>
              <w:pStyle w:val="NoSpacing"/>
              <w:rPr>
                <w:color w:val="000000"/>
                <w:szCs w:val="24"/>
              </w:rPr>
            </w:pPr>
            <w:r w:rsidRPr="00E42A54">
              <w:rPr>
                <w:color w:val="000000"/>
                <w:szCs w:val="24"/>
              </w:rPr>
              <w:t>2014</w:t>
            </w:r>
          </w:p>
        </w:tc>
        <w:tc>
          <w:tcPr>
            <w:tcW w:w="960" w:type="dxa"/>
            <w:tcBorders>
              <w:top w:val="nil"/>
              <w:left w:val="nil"/>
              <w:bottom w:val="nil"/>
              <w:right w:val="nil"/>
            </w:tcBorders>
            <w:shd w:val="clear" w:color="auto" w:fill="auto"/>
            <w:noWrap/>
            <w:vAlign w:val="center"/>
            <w:hideMark/>
          </w:tcPr>
          <w:p w14:paraId="3712C62D"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664988E2" w14:textId="77777777" w:rsidR="00112EDC" w:rsidRPr="00E42A54" w:rsidRDefault="00112EDC" w:rsidP="008679FF">
            <w:pPr>
              <w:pStyle w:val="NoSpacing"/>
              <w:rPr>
                <w:color w:val="000000"/>
                <w:szCs w:val="24"/>
              </w:rPr>
            </w:pPr>
            <w:r w:rsidRPr="00E42A54">
              <w:rPr>
                <w:color w:val="000000"/>
                <w:szCs w:val="24"/>
              </w:rPr>
              <w:t>8.17</w:t>
            </w:r>
          </w:p>
        </w:tc>
        <w:tc>
          <w:tcPr>
            <w:tcW w:w="848" w:type="dxa"/>
            <w:tcBorders>
              <w:top w:val="nil"/>
              <w:left w:val="nil"/>
              <w:bottom w:val="nil"/>
              <w:right w:val="nil"/>
            </w:tcBorders>
            <w:shd w:val="clear" w:color="auto" w:fill="auto"/>
            <w:noWrap/>
            <w:vAlign w:val="center"/>
            <w:hideMark/>
          </w:tcPr>
          <w:p w14:paraId="2E152C74" w14:textId="77777777" w:rsidR="00112EDC" w:rsidRPr="00E42A54" w:rsidRDefault="00112EDC" w:rsidP="008679FF">
            <w:pPr>
              <w:pStyle w:val="NoSpacing"/>
              <w:rPr>
                <w:color w:val="000000"/>
                <w:szCs w:val="24"/>
              </w:rPr>
            </w:pPr>
            <w:r w:rsidRPr="00E42A54">
              <w:rPr>
                <w:color w:val="000000"/>
                <w:szCs w:val="24"/>
              </w:rPr>
              <w:t>0.05</w:t>
            </w:r>
          </w:p>
        </w:tc>
        <w:tc>
          <w:tcPr>
            <w:tcW w:w="960" w:type="dxa"/>
            <w:tcBorders>
              <w:top w:val="nil"/>
              <w:left w:val="nil"/>
              <w:bottom w:val="nil"/>
              <w:right w:val="nil"/>
            </w:tcBorders>
            <w:shd w:val="clear" w:color="auto" w:fill="auto"/>
            <w:noWrap/>
            <w:vAlign w:val="center"/>
            <w:hideMark/>
          </w:tcPr>
          <w:p w14:paraId="7D573C9F" w14:textId="77777777" w:rsidR="00112EDC" w:rsidRPr="00E42A54" w:rsidRDefault="00112EDC" w:rsidP="008679FF">
            <w:pPr>
              <w:pStyle w:val="NoSpacing"/>
              <w:rPr>
                <w:color w:val="000000"/>
                <w:szCs w:val="24"/>
              </w:rPr>
            </w:pPr>
            <w:r w:rsidRPr="00E42A54">
              <w:rPr>
                <w:color w:val="000000"/>
                <w:szCs w:val="24"/>
              </w:rPr>
              <w:t>0.18</w:t>
            </w:r>
          </w:p>
        </w:tc>
        <w:tc>
          <w:tcPr>
            <w:tcW w:w="960" w:type="dxa"/>
            <w:tcBorders>
              <w:top w:val="nil"/>
              <w:left w:val="nil"/>
              <w:bottom w:val="nil"/>
              <w:right w:val="nil"/>
            </w:tcBorders>
            <w:shd w:val="clear" w:color="auto" w:fill="auto"/>
            <w:noWrap/>
            <w:vAlign w:val="center"/>
            <w:hideMark/>
          </w:tcPr>
          <w:p w14:paraId="16BDA1D7" w14:textId="77777777" w:rsidR="00112EDC" w:rsidRPr="00E42A54" w:rsidRDefault="00112EDC" w:rsidP="008679FF">
            <w:pPr>
              <w:pStyle w:val="NoSpacing"/>
              <w:rPr>
                <w:color w:val="000000"/>
                <w:szCs w:val="24"/>
              </w:rPr>
            </w:pPr>
            <w:r w:rsidRPr="00E42A54">
              <w:rPr>
                <w:color w:val="000000"/>
                <w:szCs w:val="24"/>
              </w:rPr>
              <w:t>2.36</w:t>
            </w:r>
          </w:p>
        </w:tc>
      </w:tr>
      <w:tr w:rsidR="00112EDC" w:rsidRPr="00112EDC" w14:paraId="213637B6"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20F9D814" w14:textId="77777777" w:rsidR="00112EDC" w:rsidRPr="00E42A54" w:rsidRDefault="00112EDC" w:rsidP="008679FF">
            <w:pPr>
              <w:pStyle w:val="NoSpacing"/>
              <w:rPr>
                <w:color w:val="000000"/>
                <w:szCs w:val="24"/>
              </w:rPr>
            </w:pPr>
            <w:r w:rsidRPr="00E42A54">
              <w:rPr>
                <w:color w:val="000000"/>
                <w:szCs w:val="24"/>
              </w:rPr>
              <w:t>2015</w:t>
            </w:r>
          </w:p>
        </w:tc>
        <w:tc>
          <w:tcPr>
            <w:tcW w:w="960" w:type="dxa"/>
            <w:tcBorders>
              <w:top w:val="nil"/>
              <w:left w:val="nil"/>
              <w:bottom w:val="nil"/>
              <w:right w:val="nil"/>
            </w:tcBorders>
            <w:shd w:val="clear" w:color="auto" w:fill="auto"/>
            <w:noWrap/>
            <w:vAlign w:val="center"/>
            <w:hideMark/>
          </w:tcPr>
          <w:p w14:paraId="2BE3287F"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nil"/>
              <w:left w:val="nil"/>
              <w:bottom w:val="nil"/>
              <w:right w:val="nil"/>
            </w:tcBorders>
            <w:shd w:val="clear" w:color="auto" w:fill="auto"/>
            <w:noWrap/>
            <w:vAlign w:val="center"/>
            <w:hideMark/>
          </w:tcPr>
          <w:p w14:paraId="44955093" w14:textId="77777777" w:rsidR="00112EDC" w:rsidRPr="00E42A54" w:rsidRDefault="00112EDC" w:rsidP="008679FF">
            <w:pPr>
              <w:pStyle w:val="NoSpacing"/>
              <w:rPr>
                <w:color w:val="000000"/>
                <w:szCs w:val="24"/>
              </w:rPr>
            </w:pPr>
            <w:r w:rsidRPr="00E42A54">
              <w:rPr>
                <w:color w:val="000000"/>
                <w:szCs w:val="24"/>
              </w:rPr>
              <w:t>10.53</w:t>
            </w:r>
          </w:p>
        </w:tc>
        <w:tc>
          <w:tcPr>
            <w:tcW w:w="848" w:type="dxa"/>
            <w:tcBorders>
              <w:top w:val="nil"/>
              <w:left w:val="nil"/>
              <w:bottom w:val="nil"/>
              <w:right w:val="nil"/>
            </w:tcBorders>
            <w:shd w:val="clear" w:color="auto" w:fill="auto"/>
            <w:noWrap/>
            <w:vAlign w:val="center"/>
            <w:hideMark/>
          </w:tcPr>
          <w:p w14:paraId="2F40F956"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6AAA1B3A" w14:textId="77777777" w:rsidR="00112EDC" w:rsidRPr="00E42A54" w:rsidRDefault="00112EDC" w:rsidP="008679FF">
            <w:pPr>
              <w:pStyle w:val="NoSpacing"/>
              <w:rPr>
                <w:color w:val="000000"/>
                <w:szCs w:val="24"/>
              </w:rPr>
            </w:pPr>
            <w:r w:rsidRPr="00E42A54">
              <w:rPr>
                <w:color w:val="000000"/>
                <w:szCs w:val="24"/>
              </w:rPr>
              <w:t>0.24</w:t>
            </w:r>
          </w:p>
        </w:tc>
        <w:tc>
          <w:tcPr>
            <w:tcW w:w="960" w:type="dxa"/>
            <w:tcBorders>
              <w:top w:val="nil"/>
              <w:left w:val="nil"/>
              <w:bottom w:val="nil"/>
              <w:right w:val="nil"/>
            </w:tcBorders>
            <w:shd w:val="clear" w:color="auto" w:fill="auto"/>
            <w:noWrap/>
            <w:vAlign w:val="center"/>
            <w:hideMark/>
          </w:tcPr>
          <w:p w14:paraId="1AE368BF" w14:textId="77777777" w:rsidR="00112EDC" w:rsidRPr="00E42A54" w:rsidRDefault="00112EDC" w:rsidP="008679FF">
            <w:pPr>
              <w:pStyle w:val="NoSpacing"/>
              <w:rPr>
                <w:color w:val="000000"/>
                <w:szCs w:val="24"/>
              </w:rPr>
            </w:pPr>
            <w:r w:rsidRPr="00E42A54">
              <w:rPr>
                <w:color w:val="000000"/>
                <w:szCs w:val="24"/>
              </w:rPr>
              <w:t>1.99</w:t>
            </w:r>
          </w:p>
        </w:tc>
      </w:tr>
      <w:tr w:rsidR="00112EDC" w:rsidRPr="00112EDC" w14:paraId="7BC083CC"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3804102B" w14:textId="77777777" w:rsidR="00112EDC" w:rsidRPr="00E42A54" w:rsidRDefault="00112EDC" w:rsidP="008679FF">
            <w:pPr>
              <w:pStyle w:val="NoSpacing"/>
              <w:rPr>
                <w:color w:val="000000"/>
                <w:szCs w:val="24"/>
              </w:rPr>
            </w:pPr>
            <w:r w:rsidRPr="00E42A54">
              <w:rPr>
                <w:color w:val="000000"/>
                <w:szCs w:val="24"/>
              </w:rPr>
              <w:t>2015</w:t>
            </w:r>
          </w:p>
        </w:tc>
        <w:tc>
          <w:tcPr>
            <w:tcW w:w="960" w:type="dxa"/>
            <w:tcBorders>
              <w:top w:val="nil"/>
              <w:left w:val="nil"/>
              <w:bottom w:val="nil"/>
              <w:right w:val="nil"/>
            </w:tcBorders>
            <w:shd w:val="clear" w:color="auto" w:fill="auto"/>
            <w:noWrap/>
            <w:vAlign w:val="center"/>
            <w:hideMark/>
          </w:tcPr>
          <w:p w14:paraId="0EED0D4D"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372407FC" w14:textId="77777777" w:rsidR="00112EDC" w:rsidRPr="00E42A54" w:rsidRDefault="00112EDC" w:rsidP="008679FF">
            <w:pPr>
              <w:pStyle w:val="NoSpacing"/>
              <w:rPr>
                <w:color w:val="000000"/>
                <w:szCs w:val="24"/>
              </w:rPr>
            </w:pPr>
            <w:r w:rsidRPr="00E42A54">
              <w:rPr>
                <w:color w:val="000000"/>
                <w:szCs w:val="24"/>
              </w:rPr>
              <w:t>9.40</w:t>
            </w:r>
          </w:p>
        </w:tc>
        <w:tc>
          <w:tcPr>
            <w:tcW w:w="848" w:type="dxa"/>
            <w:tcBorders>
              <w:top w:val="nil"/>
              <w:left w:val="nil"/>
              <w:bottom w:val="nil"/>
              <w:right w:val="nil"/>
            </w:tcBorders>
            <w:shd w:val="clear" w:color="auto" w:fill="auto"/>
            <w:noWrap/>
            <w:vAlign w:val="center"/>
            <w:hideMark/>
          </w:tcPr>
          <w:p w14:paraId="7C530D2F"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192DBE96" w14:textId="77777777" w:rsidR="00112EDC" w:rsidRPr="00E42A54" w:rsidRDefault="00112EDC" w:rsidP="008679FF">
            <w:pPr>
              <w:pStyle w:val="NoSpacing"/>
              <w:rPr>
                <w:color w:val="000000"/>
                <w:szCs w:val="24"/>
              </w:rPr>
            </w:pPr>
            <w:r w:rsidRPr="00E42A54">
              <w:rPr>
                <w:color w:val="000000"/>
                <w:szCs w:val="24"/>
              </w:rPr>
              <w:t>0.43</w:t>
            </w:r>
          </w:p>
        </w:tc>
        <w:tc>
          <w:tcPr>
            <w:tcW w:w="960" w:type="dxa"/>
            <w:tcBorders>
              <w:top w:val="nil"/>
              <w:left w:val="nil"/>
              <w:bottom w:val="nil"/>
              <w:right w:val="nil"/>
            </w:tcBorders>
            <w:shd w:val="clear" w:color="auto" w:fill="auto"/>
            <w:noWrap/>
            <w:vAlign w:val="center"/>
            <w:hideMark/>
          </w:tcPr>
          <w:p w14:paraId="0AF5335F" w14:textId="77777777" w:rsidR="00112EDC" w:rsidRPr="00E42A54" w:rsidRDefault="00112EDC" w:rsidP="008679FF">
            <w:pPr>
              <w:pStyle w:val="NoSpacing"/>
              <w:rPr>
                <w:color w:val="000000"/>
                <w:szCs w:val="24"/>
              </w:rPr>
            </w:pPr>
            <w:r w:rsidRPr="00E42A54">
              <w:rPr>
                <w:color w:val="000000"/>
                <w:szCs w:val="24"/>
              </w:rPr>
              <w:t>1.33</w:t>
            </w:r>
          </w:p>
        </w:tc>
      </w:tr>
      <w:tr w:rsidR="00112EDC" w:rsidRPr="00112EDC" w14:paraId="54D0C7EA"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238D2378" w14:textId="77777777" w:rsidR="00112EDC" w:rsidRPr="00E42A54" w:rsidRDefault="00112EDC" w:rsidP="008679FF">
            <w:pPr>
              <w:pStyle w:val="NoSpacing"/>
              <w:rPr>
                <w:color w:val="000000"/>
                <w:szCs w:val="24"/>
              </w:rPr>
            </w:pPr>
            <w:r w:rsidRPr="00E42A54">
              <w:rPr>
                <w:color w:val="000000"/>
                <w:szCs w:val="24"/>
              </w:rPr>
              <w:t>2015</w:t>
            </w:r>
          </w:p>
        </w:tc>
        <w:tc>
          <w:tcPr>
            <w:tcW w:w="960" w:type="dxa"/>
            <w:tcBorders>
              <w:top w:val="nil"/>
              <w:left w:val="nil"/>
              <w:bottom w:val="nil"/>
              <w:right w:val="nil"/>
            </w:tcBorders>
            <w:shd w:val="clear" w:color="auto" w:fill="auto"/>
            <w:noWrap/>
            <w:vAlign w:val="center"/>
            <w:hideMark/>
          </w:tcPr>
          <w:p w14:paraId="78967DE5"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4068A916" w14:textId="77777777" w:rsidR="00112EDC" w:rsidRPr="00E42A54" w:rsidRDefault="00112EDC" w:rsidP="008679FF">
            <w:pPr>
              <w:pStyle w:val="NoSpacing"/>
              <w:rPr>
                <w:color w:val="000000"/>
                <w:szCs w:val="24"/>
              </w:rPr>
            </w:pPr>
            <w:r w:rsidRPr="00E42A54">
              <w:rPr>
                <w:color w:val="000000"/>
                <w:szCs w:val="24"/>
              </w:rPr>
              <w:t>8.72</w:t>
            </w:r>
          </w:p>
        </w:tc>
        <w:tc>
          <w:tcPr>
            <w:tcW w:w="848" w:type="dxa"/>
            <w:tcBorders>
              <w:top w:val="nil"/>
              <w:left w:val="nil"/>
              <w:bottom w:val="nil"/>
              <w:right w:val="nil"/>
            </w:tcBorders>
            <w:shd w:val="clear" w:color="auto" w:fill="auto"/>
            <w:noWrap/>
            <w:vAlign w:val="center"/>
            <w:hideMark/>
          </w:tcPr>
          <w:p w14:paraId="0A2B843E"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427CEA6E" w14:textId="77777777" w:rsidR="00112EDC" w:rsidRPr="00E42A54" w:rsidRDefault="00112EDC" w:rsidP="008679FF">
            <w:pPr>
              <w:pStyle w:val="NoSpacing"/>
              <w:rPr>
                <w:color w:val="000000"/>
                <w:szCs w:val="24"/>
              </w:rPr>
            </w:pPr>
            <w:r w:rsidRPr="00E42A54">
              <w:rPr>
                <w:color w:val="000000"/>
                <w:szCs w:val="24"/>
              </w:rPr>
              <w:t>0.22</w:t>
            </w:r>
          </w:p>
        </w:tc>
        <w:tc>
          <w:tcPr>
            <w:tcW w:w="960" w:type="dxa"/>
            <w:tcBorders>
              <w:top w:val="nil"/>
              <w:left w:val="nil"/>
              <w:bottom w:val="nil"/>
              <w:right w:val="nil"/>
            </w:tcBorders>
            <w:shd w:val="clear" w:color="auto" w:fill="auto"/>
            <w:noWrap/>
            <w:vAlign w:val="center"/>
            <w:hideMark/>
          </w:tcPr>
          <w:p w14:paraId="4D3A68BC" w14:textId="77777777" w:rsidR="00112EDC" w:rsidRPr="00E42A54" w:rsidRDefault="00112EDC" w:rsidP="008679FF">
            <w:pPr>
              <w:pStyle w:val="NoSpacing"/>
              <w:rPr>
                <w:color w:val="000000"/>
                <w:szCs w:val="24"/>
              </w:rPr>
            </w:pPr>
            <w:r w:rsidRPr="00E42A54">
              <w:rPr>
                <w:color w:val="000000"/>
                <w:szCs w:val="24"/>
              </w:rPr>
              <w:t>2.09</w:t>
            </w:r>
          </w:p>
        </w:tc>
      </w:tr>
      <w:tr w:rsidR="00112EDC" w:rsidRPr="00112EDC" w14:paraId="1518D2AA"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6892511E" w14:textId="77777777" w:rsidR="00112EDC" w:rsidRPr="00E42A54" w:rsidRDefault="00112EDC" w:rsidP="008679FF">
            <w:pPr>
              <w:pStyle w:val="NoSpacing"/>
              <w:rPr>
                <w:color w:val="000000"/>
                <w:szCs w:val="24"/>
              </w:rPr>
            </w:pPr>
            <w:r w:rsidRPr="00E42A54">
              <w:rPr>
                <w:color w:val="000000"/>
                <w:szCs w:val="24"/>
              </w:rPr>
              <w:t>2015</w:t>
            </w:r>
          </w:p>
        </w:tc>
        <w:tc>
          <w:tcPr>
            <w:tcW w:w="960" w:type="dxa"/>
            <w:tcBorders>
              <w:top w:val="nil"/>
              <w:left w:val="nil"/>
              <w:bottom w:val="nil"/>
              <w:right w:val="nil"/>
            </w:tcBorders>
            <w:shd w:val="clear" w:color="auto" w:fill="auto"/>
            <w:noWrap/>
            <w:vAlign w:val="center"/>
            <w:hideMark/>
          </w:tcPr>
          <w:p w14:paraId="503EE86E"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18679975" w14:textId="77777777" w:rsidR="00112EDC" w:rsidRPr="00E42A54" w:rsidRDefault="00112EDC" w:rsidP="008679FF">
            <w:pPr>
              <w:pStyle w:val="NoSpacing"/>
              <w:rPr>
                <w:color w:val="000000"/>
                <w:szCs w:val="24"/>
              </w:rPr>
            </w:pPr>
            <w:r w:rsidRPr="00E42A54">
              <w:rPr>
                <w:color w:val="000000"/>
                <w:szCs w:val="24"/>
              </w:rPr>
              <w:t>8.32</w:t>
            </w:r>
          </w:p>
        </w:tc>
        <w:tc>
          <w:tcPr>
            <w:tcW w:w="848" w:type="dxa"/>
            <w:tcBorders>
              <w:top w:val="nil"/>
              <w:left w:val="nil"/>
              <w:bottom w:val="nil"/>
              <w:right w:val="nil"/>
            </w:tcBorders>
            <w:shd w:val="clear" w:color="auto" w:fill="auto"/>
            <w:noWrap/>
            <w:vAlign w:val="center"/>
            <w:hideMark/>
          </w:tcPr>
          <w:p w14:paraId="5976DAA5" w14:textId="77777777" w:rsidR="00112EDC" w:rsidRPr="00E42A54" w:rsidRDefault="00112EDC" w:rsidP="008679FF">
            <w:pPr>
              <w:pStyle w:val="NoSpacing"/>
              <w:rPr>
                <w:color w:val="000000"/>
                <w:szCs w:val="24"/>
              </w:rPr>
            </w:pPr>
            <w:r w:rsidRPr="00E42A54">
              <w:rPr>
                <w:color w:val="000000"/>
                <w:szCs w:val="24"/>
              </w:rPr>
              <w:t>0.05</w:t>
            </w:r>
          </w:p>
        </w:tc>
        <w:tc>
          <w:tcPr>
            <w:tcW w:w="960" w:type="dxa"/>
            <w:tcBorders>
              <w:top w:val="nil"/>
              <w:left w:val="nil"/>
              <w:bottom w:val="nil"/>
              <w:right w:val="nil"/>
            </w:tcBorders>
            <w:shd w:val="clear" w:color="auto" w:fill="auto"/>
            <w:noWrap/>
            <w:vAlign w:val="center"/>
            <w:hideMark/>
          </w:tcPr>
          <w:p w14:paraId="3FAECE2C" w14:textId="77777777" w:rsidR="00112EDC" w:rsidRPr="00E42A54" w:rsidRDefault="00112EDC" w:rsidP="008679FF">
            <w:pPr>
              <w:pStyle w:val="NoSpacing"/>
              <w:rPr>
                <w:color w:val="000000"/>
                <w:szCs w:val="24"/>
              </w:rPr>
            </w:pPr>
            <w:r w:rsidRPr="00E42A54">
              <w:rPr>
                <w:color w:val="000000"/>
                <w:szCs w:val="24"/>
              </w:rPr>
              <w:t>0.20</w:t>
            </w:r>
          </w:p>
        </w:tc>
        <w:tc>
          <w:tcPr>
            <w:tcW w:w="960" w:type="dxa"/>
            <w:tcBorders>
              <w:top w:val="nil"/>
              <w:left w:val="nil"/>
              <w:bottom w:val="nil"/>
              <w:right w:val="nil"/>
            </w:tcBorders>
            <w:shd w:val="clear" w:color="auto" w:fill="auto"/>
            <w:noWrap/>
            <w:vAlign w:val="center"/>
            <w:hideMark/>
          </w:tcPr>
          <w:p w14:paraId="30284CD8" w14:textId="77777777" w:rsidR="00112EDC" w:rsidRPr="00E42A54" w:rsidRDefault="00112EDC" w:rsidP="008679FF">
            <w:pPr>
              <w:pStyle w:val="NoSpacing"/>
              <w:rPr>
                <w:color w:val="000000"/>
                <w:szCs w:val="24"/>
              </w:rPr>
            </w:pPr>
            <w:r w:rsidRPr="00E42A54">
              <w:rPr>
                <w:color w:val="000000"/>
                <w:szCs w:val="24"/>
              </w:rPr>
              <w:t>2.25</w:t>
            </w:r>
          </w:p>
        </w:tc>
      </w:tr>
      <w:tr w:rsidR="00112EDC" w:rsidRPr="00112EDC" w14:paraId="2045F3F3"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74566F37" w14:textId="77777777" w:rsidR="00112EDC" w:rsidRPr="00E42A54" w:rsidRDefault="00112EDC" w:rsidP="008679FF">
            <w:pPr>
              <w:pStyle w:val="NoSpacing"/>
              <w:rPr>
                <w:color w:val="000000"/>
                <w:szCs w:val="24"/>
              </w:rPr>
            </w:pPr>
            <w:r w:rsidRPr="00E42A54">
              <w:rPr>
                <w:color w:val="000000"/>
                <w:szCs w:val="24"/>
              </w:rPr>
              <w:t>2016</w:t>
            </w:r>
          </w:p>
        </w:tc>
        <w:tc>
          <w:tcPr>
            <w:tcW w:w="960" w:type="dxa"/>
            <w:tcBorders>
              <w:top w:val="nil"/>
              <w:left w:val="nil"/>
              <w:bottom w:val="nil"/>
              <w:right w:val="nil"/>
            </w:tcBorders>
            <w:shd w:val="clear" w:color="auto" w:fill="auto"/>
            <w:noWrap/>
            <w:vAlign w:val="center"/>
            <w:hideMark/>
          </w:tcPr>
          <w:p w14:paraId="32F5784F" w14:textId="77777777" w:rsidR="00112EDC" w:rsidRPr="00E42A54" w:rsidRDefault="00112EDC" w:rsidP="008679FF">
            <w:pPr>
              <w:pStyle w:val="NoSpacing"/>
              <w:rPr>
                <w:color w:val="000000"/>
                <w:szCs w:val="24"/>
              </w:rPr>
            </w:pPr>
            <w:r w:rsidRPr="00E42A54">
              <w:rPr>
                <w:color w:val="000000"/>
                <w:szCs w:val="24"/>
              </w:rPr>
              <w:t>1</w:t>
            </w:r>
          </w:p>
        </w:tc>
        <w:tc>
          <w:tcPr>
            <w:tcW w:w="1072" w:type="dxa"/>
            <w:tcBorders>
              <w:top w:val="nil"/>
              <w:left w:val="nil"/>
              <w:bottom w:val="nil"/>
              <w:right w:val="nil"/>
            </w:tcBorders>
            <w:shd w:val="clear" w:color="auto" w:fill="auto"/>
            <w:noWrap/>
            <w:vAlign w:val="center"/>
            <w:hideMark/>
          </w:tcPr>
          <w:p w14:paraId="0E1534C3" w14:textId="77777777" w:rsidR="00112EDC" w:rsidRPr="00E42A54" w:rsidRDefault="00112EDC" w:rsidP="008679FF">
            <w:pPr>
              <w:pStyle w:val="NoSpacing"/>
              <w:rPr>
                <w:color w:val="000000"/>
                <w:szCs w:val="24"/>
              </w:rPr>
            </w:pPr>
            <w:r w:rsidRPr="00E42A54">
              <w:rPr>
                <w:color w:val="000000"/>
                <w:szCs w:val="24"/>
              </w:rPr>
              <w:t>12.14</w:t>
            </w:r>
          </w:p>
        </w:tc>
        <w:tc>
          <w:tcPr>
            <w:tcW w:w="848" w:type="dxa"/>
            <w:tcBorders>
              <w:top w:val="nil"/>
              <w:left w:val="nil"/>
              <w:bottom w:val="nil"/>
              <w:right w:val="nil"/>
            </w:tcBorders>
            <w:shd w:val="clear" w:color="auto" w:fill="auto"/>
            <w:noWrap/>
            <w:vAlign w:val="center"/>
            <w:hideMark/>
          </w:tcPr>
          <w:p w14:paraId="5E95C9F2" w14:textId="77777777" w:rsidR="00112EDC" w:rsidRPr="00E42A54" w:rsidRDefault="00112EDC" w:rsidP="008679FF">
            <w:pPr>
              <w:pStyle w:val="NoSpacing"/>
              <w:rPr>
                <w:color w:val="000000"/>
                <w:szCs w:val="24"/>
              </w:rPr>
            </w:pPr>
            <w:r w:rsidRPr="00E42A54">
              <w:rPr>
                <w:color w:val="000000"/>
                <w:szCs w:val="24"/>
              </w:rPr>
              <w:t>0.03</w:t>
            </w:r>
          </w:p>
        </w:tc>
        <w:tc>
          <w:tcPr>
            <w:tcW w:w="960" w:type="dxa"/>
            <w:tcBorders>
              <w:top w:val="nil"/>
              <w:left w:val="nil"/>
              <w:bottom w:val="nil"/>
              <w:right w:val="nil"/>
            </w:tcBorders>
            <w:shd w:val="clear" w:color="auto" w:fill="auto"/>
            <w:noWrap/>
            <w:vAlign w:val="center"/>
            <w:hideMark/>
          </w:tcPr>
          <w:p w14:paraId="33713017" w14:textId="77777777" w:rsidR="00112EDC" w:rsidRPr="00E42A54" w:rsidRDefault="00112EDC" w:rsidP="008679FF">
            <w:pPr>
              <w:pStyle w:val="NoSpacing"/>
              <w:rPr>
                <w:color w:val="000000"/>
                <w:szCs w:val="24"/>
              </w:rPr>
            </w:pPr>
            <w:r w:rsidRPr="00E42A54">
              <w:rPr>
                <w:color w:val="000000"/>
                <w:szCs w:val="24"/>
              </w:rPr>
              <w:t>0.22</w:t>
            </w:r>
          </w:p>
        </w:tc>
        <w:tc>
          <w:tcPr>
            <w:tcW w:w="960" w:type="dxa"/>
            <w:tcBorders>
              <w:top w:val="nil"/>
              <w:left w:val="nil"/>
              <w:bottom w:val="nil"/>
              <w:right w:val="nil"/>
            </w:tcBorders>
            <w:shd w:val="clear" w:color="auto" w:fill="auto"/>
            <w:noWrap/>
            <w:vAlign w:val="center"/>
            <w:hideMark/>
          </w:tcPr>
          <w:p w14:paraId="184EC0C5" w14:textId="77777777" w:rsidR="00112EDC" w:rsidRPr="00E42A54" w:rsidRDefault="00112EDC" w:rsidP="008679FF">
            <w:pPr>
              <w:pStyle w:val="NoSpacing"/>
              <w:rPr>
                <w:color w:val="000000"/>
                <w:szCs w:val="24"/>
              </w:rPr>
            </w:pPr>
            <w:r w:rsidRPr="00E42A54">
              <w:rPr>
                <w:color w:val="000000"/>
                <w:szCs w:val="24"/>
              </w:rPr>
              <w:t>2.09</w:t>
            </w:r>
          </w:p>
        </w:tc>
      </w:tr>
      <w:tr w:rsidR="00112EDC" w:rsidRPr="00112EDC" w14:paraId="6FDE119C"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36AC7577" w14:textId="77777777" w:rsidR="00112EDC" w:rsidRPr="00E42A54" w:rsidRDefault="00112EDC" w:rsidP="008679FF">
            <w:pPr>
              <w:pStyle w:val="NoSpacing"/>
              <w:rPr>
                <w:color w:val="000000"/>
                <w:szCs w:val="24"/>
              </w:rPr>
            </w:pPr>
            <w:r w:rsidRPr="00E42A54">
              <w:rPr>
                <w:color w:val="000000"/>
                <w:szCs w:val="24"/>
              </w:rPr>
              <w:t>2016</w:t>
            </w:r>
          </w:p>
        </w:tc>
        <w:tc>
          <w:tcPr>
            <w:tcW w:w="960" w:type="dxa"/>
            <w:tcBorders>
              <w:top w:val="nil"/>
              <w:left w:val="nil"/>
              <w:bottom w:val="nil"/>
              <w:right w:val="nil"/>
            </w:tcBorders>
            <w:shd w:val="clear" w:color="auto" w:fill="auto"/>
            <w:noWrap/>
            <w:vAlign w:val="center"/>
            <w:hideMark/>
          </w:tcPr>
          <w:p w14:paraId="112314F3" w14:textId="77777777" w:rsidR="00112EDC" w:rsidRPr="00E42A54" w:rsidRDefault="00112EDC" w:rsidP="008679FF">
            <w:pPr>
              <w:pStyle w:val="NoSpacing"/>
              <w:rPr>
                <w:color w:val="000000"/>
                <w:szCs w:val="24"/>
              </w:rPr>
            </w:pPr>
            <w:r w:rsidRPr="00E42A54">
              <w:rPr>
                <w:color w:val="000000"/>
                <w:szCs w:val="24"/>
              </w:rPr>
              <w:t>2</w:t>
            </w:r>
          </w:p>
        </w:tc>
        <w:tc>
          <w:tcPr>
            <w:tcW w:w="1072" w:type="dxa"/>
            <w:tcBorders>
              <w:top w:val="nil"/>
              <w:left w:val="nil"/>
              <w:bottom w:val="nil"/>
              <w:right w:val="nil"/>
            </w:tcBorders>
            <w:shd w:val="clear" w:color="auto" w:fill="auto"/>
            <w:noWrap/>
            <w:vAlign w:val="center"/>
            <w:hideMark/>
          </w:tcPr>
          <w:p w14:paraId="09E76308" w14:textId="77777777" w:rsidR="00112EDC" w:rsidRPr="00E42A54" w:rsidRDefault="00112EDC" w:rsidP="008679FF">
            <w:pPr>
              <w:pStyle w:val="NoSpacing"/>
              <w:rPr>
                <w:color w:val="000000"/>
                <w:szCs w:val="24"/>
              </w:rPr>
            </w:pPr>
            <w:r w:rsidRPr="00E42A54">
              <w:rPr>
                <w:color w:val="000000"/>
                <w:szCs w:val="24"/>
              </w:rPr>
              <w:t>10.84</w:t>
            </w:r>
          </w:p>
        </w:tc>
        <w:tc>
          <w:tcPr>
            <w:tcW w:w="848" w:type="dxa"/>
            <w:tcBorders>
              <w:top w:val="nil"/>
              <w:left w:val="nil"/>
              <w:bottom w:val="nil"/>
              <w:right w:val="nil"/>
            </w:tcBorders>
            <w:shd w:val="clear" w:color="auto" w:fill="auto"/>
            <w:noWrap/>
            <w:vAlign w:val="center"/>
            <w:hideMark/>
          </w:tcPr>
          <w:p w14:paraId="0CCED897" w14:textId="77777777" w:rsidR="00112EDC" w:rsidRPr="00E42A54" w:rsidRDefault="00112EDC" w:rsidP="008679FF">
            <w:pPr>
              <w:pStyle w:val="NoSpacing"/>
              <w:rPr>
                <w:color w:val="000000"/>
                <w:szCs w:val="24"/>
              </w:rPr>
            </w:pPr>
            <w:r w:rsidRPr="00E42A54">
              <w:rPr>
                <w:color w:val="000000"/>
                <w:szCs w:val="24"/>
              </w:rPr>
              <w:t>0.03</w:t>
            </w:r>
          </w:p>
        </w:tc>
        <w:tc>
          <w:tcPr>
            <w:tcW w:w="960" w:type="dxa"/>
            <w:tcBorders>
              <w:top w:val="nil"/>
              <w:left w:val="nil"/>
              <w:bottom w:val="nil"/>
              <w:right w:val="nil"/>
            </w:tcBorders>
            <w:shd w:val="clear" w:color="auto" w:fill="auto"/>
            <w:noWrap/>
            <w:vAlign w:val="center"/>
            <w:hideMark/>
          </w:tcPr>
          <w:p w14:paraId="7657D28C" w14:textId="77777777" w:rsidR="00112EDC" w:rsidRPr="00E42A54" w:rsidRDefault="00112EDC" w:rsidP="008679FF">
            <w:pPr>
              <w:pStyle w:val="NoSpacing"/>
              <w:rPr>
                <w:color w:val="000000"/>
                <w:szCs w:val="24"/>
              </w:rPr>
            </w:pPr>
            <w:r w:rsidRPr="00E42A54">
              <w:rPr>
                <w:color w:val="000000"/>
                <w:szCs w:val="24"/>
              </w:rPr>
              <w:t>0.41</w:t>
            </w:r>
          </w:p>
        </w:tc>
        <w:tc>
          <w:tcPr>
            <w:tcW w:w="960" w:type="dxa"/>
            <w:tcBorders>
              <w:top w:val="nil"/>
              <w:left w:val="nil"/>
              <w:bottom w:val="nil"/>
              <w:right w:val="nil"/>
            </w:tcBorders>
            <w:shd w:val="clear" w:color="auto" w:fill="auto"/>
            <w:noWrap/>
            <w:vAlign w:val="center"/>
            <w:hideMark/>
          </w:tcPr>
          <w:p w14:paraId="22353FD2" w14:textId="77777777" w:rsidR="00112EDC" w:rsidRPr="00E42A54" w:rsidRDefault="00112EDC" w:rsidP="008679FF">
            <w:pPr>
              <w:pStyle w:val="NoSpacing"/>
              <w:rPr>
                <w:color w:val="000000"/>
                <w:szCs w:val="24"/>
              </w:rPr>
            </w:pPr>
            <w:r w:rsidRPr="00E42A54">
              <w:rPr>
                <w:color w:val="000000"/>
                <w:szCs w:val="24"/>
              </w:rPr>
              <w:t>1.39</w:t>
            </w:r>
          </w:p>
        </w:tc>
      </w:tr>
      <w:tr w:rsidR="00112EDC" w:rsidRPr="00112EDC" w14:paraId="78098A8F"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355681F6" w14:textId="77777777" w:rsidR="00112EDC" w:rsidRPr="00E42A54" w:rsidRDefault="00112EDC" w:rsidP="008679FF">
            <w:pPr>
              <w:pStyle w:val="NoSpacing"/>
              <w:rPr>
                <w:color w:val="000000"/>
                <w:szCs w:val="24"/>
              </w:rPr>
            </w:pPr>
            <w:r w:rsidRPr="00E42A54">
              <w:rPr>
                <w:color w:val="000000"/>
                <w:szCs w:val="24"/>
              </w:rPr>
              <w:t>2016</w:t>
            </w:r>
          </w:p>
        </w:tc>
        <w:tc>
          <w:tcPr>
            <w:tcW w:w="960" w:type="dxa"/>
            <w:tcBorders>
              <w:top w:val="nil"/>
              <w:left w:val="nil"/>
              <w:bottom w:val="nil"/>
              <w:right w:val="nil"/>
            </w:tcBorders>
            <w:shd w:val="clear" w:color="auto" w:fill="auto"/>
            <w:noWrap/>
            <w:vAlign w:val="center"/>
            <w:hideMark/>
          </w:tcPr>
          <w:p w14:paraId="52C4909C" w14:textId="77777777" w:rsidR="00112EDC" w:rsidRPr="00E42A54" w:rsidRDefault="00112EDC" w:rsidP="008679FF">
            <w:pPr>
              <w:pStyle w:val="NoSpacing"/>
              <w:rPr>
                <w:color w:val="000000"/>
                <w:szCs w:val="24"/>
              </w:rPr>
            </w:pPr>
            <w:r w:rsidRPr="00E42A54">
              <w:rPr>
                <w:color w:val="000000"/>
                <w:szCs w:val="24"/>
              </w:rPr>
              <w:t>3</w:t>
            </w:r>
          </w:p>
        </w:tc>
        <w:tc>
          <w:tcPr>
            <w:tcW w:w="1072" w:type="dxa"/>
            <w:tcBorders>
              <w:top w:val="nil"/>
              <w:left w:val="nil"/>
              <w:bottom w:val="nil"/>
              <w:right w:val="nil"/>
            </w:tcBorders>
            <w:shd w:val="clear" w:color="auto" w:fill="auto"/>
            <w:noWrap/>
            <w:vAlign w:val="center"/>
            <w:hideMark/>
          </w:tcPr>
          <w:p w14:paraId="59EC8D22" w14:textId="77777777" w:rsidR="00112EDC" w:rsidRPr="00E42A54" w:rsidRDefault="00112EDC" w:rsidP="008679FF">
            <w:pPr>
              <w:pStyle w:val="NoSpacing"/>
              <w:rPr>
                <w:color w:val="000000"/>
                <w:szCs w:val="24"/>
              </w:rPr>
            </w:pPr>
            <w:r w:rsidRPr="00E42A54">
              <w:rPr>
                <w:color w:val="000000"/>
                <w:szCs w:val="24"/>
              </w:rPr>
              <w:t>10.05</w:t>
            </w:r>
          </w:p>
        </w:tc>
        <w:tc>
          <w:tcPr>
            <w:tcW w:w="848" w:type="dxa"/>
            <w:tcBorders>
              <w:top w:val="nil"/>
              <w:left w:val="nil"/>
              <w:bottom w:val="nil"/>
              <w:right w:val="nil"/>
            </w:tcBorders>
            <w:shd w:val="clear" w:color="auto" w:fill="auto"/>
            <w:noWrap/>
            <w:vAlign w:val="center"/>
            <w:hideMark/>
          </w:tcPr>
          <w:p w14:paraId="62EF30BC"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0D2D7EE8" w14:textId="77777777" w:rsidR="00112EDC" w:rsidRPr="00E42A54" w:rsidRDefault="00112EDC" w:rsidP="008679FF">
            <w:pPr>
              <w:pStyle w:val="NoSpacing"/>
              <w:rPr>
                <w:color w:val="000000"/>
                <w:szCs w:val="24"/>
              </w:rPr>
            </w:pPr>
            <w:r w:rsidRPr="00E42A54">
              <w:rPr>
                <w:color w:val="000000"/>
                <w:szCs w:val="24"/>
              </w:rPr>
              <w:t>0.20</w:t>
            </w:r>
          </w:p>
        </w:tc>
        <w:tc>
          <w:tcPr>
            <w:tcW w:w="960" w:type="dxa"/>
            <w:tcBorders>
              <w:top w:val="nil"/>
              <w:left w:val="nil"/>
              <w:bottom w:val="nil"/>
              <w:right w:val="nil"/>
            </w:tcBorders>
            <w:shd w:val="clear" w:color="auto" w:fill="auto"/>
            <w:noWrap/>
            <w:vAlign w:val="center"/>
            <w:hideMark/>
          </w:tcPr>
          <w:p w14:paraId="256A3F42" w14:textId="77777777" w:rsidR="00112EDC" w:rsidRPr="00E42A54" w:rsidRDefault="00112EDC" w:rsidP="008679FF">
            <w:pPr>
              <w:pStyle w:val="NoSpacing"/>
              <w:rPr>
                <w:color w:val="000000"/>
                <w:szCs w:val="24"/>
              </w:rPr>
            </w:pPr>
            <w:r w:rsidRPr="00E42A54">
              <w:rPr>
                <w:color w:val="000000"/>
                <w:szCs w:val="24"/>
              </w:rPr>
              <w:t>2.20</w:t>
            </w:r>
          </w:p>
        </w:tc>
      </w:tr>
      <w:tr w:rsidR="00112EDC" w:rsidRPr="00112EDC" w14:paraId="4011825F" w14:textId="77777777" w:rsidTr="00DA1AB7">
        <w:trPr>
          <w:trHeight w:val="300"/>
          <w:jc w:val="center"/>
        </w:trPr>
        <w:tc>
          <w:tcPr>
            <w:tcW w:w="960" w:type="dxa"/>
            <w:tcBorders>
              <w:top w:val="nil"/>
              <w:left w:val="nil"/>
              <w:bottom w:val="nil"/>
              <w:right w:val="nil"/>
            </w:tcBorders>
            <w:shd w:val="clear" w:color="auto" w:fill="auto"/>
            <w:noWrap/>
            <w:vAlign w:val="center"/>
            <w:hideMark/>
          </w:tcPr>
          <w:p w14:paraId="21158A02" w14:textId="77777777" w:rsidR="00112EDC" w:rsidRPr="00E42A54" w:rsidRDefault="00112EDC" w:rsidP="008679FF">
            <w:pPr>
              <w:pStyle w:val="NoSpacing"/>
              <w:rPr>
                <w:color w:val="000000"/>
                <w:szCs w:val="24"/>
              </w:rPr>
            </w:pPr>
            <w:r w:rsidRPr="00E42A54">
              <w:rPr>
                <w:color w:val="000000"/>
                <w:szCs w:val="24"/>
              </w:rPr>
              <w:t>2016</w:t>
            </w:r>
          </w:p>
        </w:tc>
        <w:tc>
          <w:tcPr>
            <w:tcW w:w="960" w:type="dxa"/>
            <w:tcBorders>
              <w:top w:val="nil"/>
              <w:left w:val="nil"/>
              <w:bottom w:val="nil"/>
              <w:right w:val="nil"/>
            </w:tcBorders>
            <w:shd w:val="clear" w:color="auto" w:fill="auto"/>
            <w:noWrap/>
            <w:vAlign w:val="center"/>
            <w:hideMark/>
          </w:tcPr>
          <w:p w14:paraId="525C4485" w14:textId="77777777" w:rsidR="00112EDC" w:rsidRPr="00E42A54" w:rsidRDefault="00112EDC" w:rsidP="008679FF">
            <w:pPr>
              <w:pStyle w:val="NoSpacing"/>
              <w:rPr>
                <w:color w:val="000000"/>
                <w:szCs w:val="24"/>
              </w:rPr>
            </w:pPr>
            <w:r w:rsidRPr="00E42A54">
              <w:rPr>
                <w:color w:val="000000"/>
                <w:szCs w:val="24"/>
              </w:rPr>
              <w:t>4</w:t>
            </w:r>
          </w:p>
        </w:tc>
        <w:tc>
          <w:tcPr>
            <w:tcW w:w="1072" w:type="dxa"/>
            <w:tcBorders>
              <w:top w:val="nil"/>
              <w:left w:val="nil"/>
              <w:bottom w:val="nil"/>
              <w:right w:val="nil"/>
            </w:tcBorders>
            <w:shd w:val="clear" w:color="auto" w:fill="auto"/>
            <w:noWrap/>
            <w:vAlign w:val="center"/>
            <w:hideMark/>
          </w:tcPr>
          <w:p w14:paraId="38BD7B55" w14:textId="77777777" w:rsidR="00112EDC" w:rsidRPr="00E42A54" w:rsidRDefault="00112EDC" w:rsidP="008679FF">
            <w:pPr>
              <w:pStyle w:val="NoSpacing"/>
              <w:rPr>
                <w:color w:val="000000"/>
                <w:szCs w:val="24"/>
              </w:rPr>
            </w:pPr>
            <w:r w:rsidRPr="00E42A54">
              <w:rPr>
                <w:color w:val="000000"/>
                <w:szCs w:val="24"/>
              </w:rPr>
              <w:t>9.59</w:t>
            </w:r>
          </w:p>
        </w:tc>
        <w:tc>
          <w:tcPr>
            <w:tcW w:w="848" w:type="dxa"/>
            <w:tcBorders>
              <w:top w:val="nil"/>
              <w:left w:val="nil"/>
              <w:bottom w:val="nil"/>
              <w:right w:val="nil"/>
            </w:tcBorders>
            <w:shd w:val="clear" w:color="auto" w:fill="auto"/>
            <w:noWrap/>
            <w:vAlign w:val="center"/>
            <w:hideMark/>
          </w:tcPr>
          <w:p w14:paraId="58313DA0" w14:textId="77777777" w:rsidR="00112EDC" w:rsidRPr="00E42A54" w:rsidRDefault="00112EDC" w:rsidP="008679FF">
            <w:pPr>
              <w:pStyle w:val="NoSpacing"/>
              <w:rPr>
                <w:color w:val="000000"/>
                <w:szCs w:val="24"/>
              </w:rPr>
            </w:pPr>
            <w:r w:rsidRPr="00E42A54">
              <w:rPr>
                <w:color w:val="000000"/>
                <w:szCs w:val="24"/>
              </w:rPr>
              <w:t>0.04</w:t>
            </w:r>
          </w:p>
        </w:tc>
        <w:tc>
          <w:tcPr>
            <w:tcW w:w="960" w:type="dxa"/>
            <w:tcBorders>
              <w:top w:val="nil"/>
              <w:left w:val="nil"/>
              <w:bottom w:val="nil"/>
              <w:right w:val="nil"/>
            </w:tcBorders>
            <w:shd w:val="clear" w:color="auto" w:fill="auto"/>
            <w:noWrap/>
            <w:vAlign w:val="center"/>
            <w:hideMark/>
          </w:tcPr>
          <w:p w14:paraId="7416037B" w14:textId="77777777" w:rsidR="00112EDC" w:rsidRPr="00E42A54" w:rsidRDefault="00112EDC" w:rsidP="008679FF">
            <w:pPr>
              <w:pStyle w:val="NoSpacing"/>
              <w:rPr>
                <w:color w:val="000000"/>
                <w:szCs w:val="24"/>
              </w:rPr>
            </w:pPr>
            <w:r w:rsidRPr="00E42A54">
              <w:rPr>
                <w:color w:val="000000"/>
                <w:szCs w:val="24"/>
              </w:rPr>
              <w:t>0.18</w:t>
            </w:r>
          </w:p>
        </w:tc>
        <w:tc>
          <w:tcPr>
            <w:tcW w:w="960" w:type="dxa"/>
            <w:tcBorders>
              <w:top w:val="nil"/>
              <w:left w:val="nil"/>
              <w:bottom w:val="nil"/>
              <w:right w:val="nil"/>
            </w:tcBorders>
            <w:shd w:val="clear" w:color="auto" w:fill="auto"/>
            <w:noWrap/>
            <w:vAlign w:val="center"/>
            <w:hideMark/>
          </w:tcPr>
          <w:p w14:paraId="0B907628" w14:textId="77777777" w:rsidR="00112EDC" w:rsidRPr="00E42A54" w:rsidRDefault="00112EDC" w:rsidP="008679FF">
            <w:pPr>
              <w:pStyle w:val="NoSpacing"/>
              <w:rPr>
                <w:color w:val="000000"/>
                <w:szCs w:val="24"/>
              </w:rPr>
            </w:pPr>
            <w:r w:rsidRPr="00E42A54">
              <w:rPr>
                <w:color w:val="000000"/>
                <w:szCs w:val="24"/>
              </w:rPr>
              <w:t>2.37</w:t>
            </w:r>
          </w:p>
        </w:tc>
      </w:tr>
    </w:tbl>
    <w:p w14:paraId="7AC345EF" w14:textId="77777777" w:rsidR="00854A38" w:rsidRDefault="00854A38" w:rsidP="007A5260">
      <w:pPr>
        <w:pStyle w:val="BodyText"/>
      </w:pPr>
    </w:p>
    <w:p w14:paraId="305ED058" w14:textId="77777777" w:rsidR="00854A38" w:rsidRPr="007A5260" w:rsidRDefault="00854A38" w:rsidP="007A5260">
      <w:pPr>
        <w:pStyle w:val="BodyText"/>
        <w:sectPr w:rsidR="00854A38" w:rsidRPr="007A5260" w:rsidSect="00A95B9F">
          <w:pgSz w:w="12240" w:h="15840"/>
          <w:pgMar w:top="1440" w:right="1440" w:bottom="1440" w:left="1440" w:header="720" w:footer="720" w:gutter="0"/>
          <w:cols w:space="720"/>
          <w:docGrid w:linePitch="360"/>
        </w:sectPr>
      </w:pPr>
    </w:p>
    <w:p w14:paraId="406B96D0" w14:textId="77777777" w:rsidR="00C035DD" w:rsidRDefault="00C035DD" w:rsidP="00D92655">
      <w:pPr>
        <w:pStyle w:val="Heading1"/>
        <w:rPr>
          <w:rStyle w:val="IntenseEmphasis"/>
          <w:b/>
          <w:bCs w:val="0"/>
          <w:i w:val="0"/>
          <w:iCs w:val="0"/>
          <w:color w:val="auto"/>
        </w:rPr>
      </w:pPr>
      <w:r>
        <w:rPr>
          <w:rStyle w:val="IntenseEmphasis"/>
          <w:b/>
          <w:bCs w:val="0"/>
          <w:i w:val="0"/>
          <w:iCs w:val="0"/>
          <w:color w:val="auto"/>
        </w:rPr>
        <w:lastRenderedPageBreak/>
        <w:t>Figures</w:t>
      </w:r>
    </w:p>
    <w:p w14:paraId="7A85710A" w14:textId="77777777" w:rsidR="00061043" w:rsidRDefault="00061043" w:rsidP="00061043">
      <w:pPr>
        <w:pStyle w:val="BodyText"/>
      </w:pPr>
    </w:p>
    <w:p w14:paraId="6C4E97C6" w14:textId="77777777" w:rsidR="00061043" w:rsidRDefault="00061043" w:rsidP="00061043">
      <w:pPr>
        <w:keepNext/>
      </w:pPr>
      <w:r>
        <w:rPr>
          <w:noProof/>
        </w:rPr>
        <w:drawing>
          <wp:inline distT="0" distB="0" distL="0" distR="0" wp14:anchorId="27B32D32" wp14:editId="0099373D">
            <wp:extent cx="5943600" cy="3457118"/>
            <wp:effectExtent l="0" t="0" r="0" b="0"/>
            <wp:docPr id="3" name="Picture 3" descr="Overall mean nominal swordfish CPUE (# swordfish/1000 hooks) by 5 × 5° square for the Hawaii-based longline shallow-set fishery from the Pacific Islands Regional Observer Program data set. Squares with fewer than three vessels have been excluded from the plot for confidential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mCPUEShalContou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457118"/>
                    </a:xfrm>
                    <a:prstGeom prst="rect">
                      <a:avLst/>
                    </a:prstGeom>
                  </pic:spPr>
                </pic:pic>
              </a:graphicData>
            </a:graphic>
          </wp:inline>
        </w:drawing>
      </w:r>
    </w:p>
    <w:p w14:paraId="1E216C9C" w14:textId="15B717A5" w:rsidR="00061043" w:rsidRDefault="00061043">
      <w:pPr>
        <w:pStyle w:val="Caption"/>
      </w:pPr>
      <w:bookmarkStart w:id="7" w:name="_Ref500417659"/>
      <w:r>
        <w:t xml:space="preserve">Figure </w:t>
      </w:r>
      <w:r w:rsidR="00A92D0A">
        <w:fldChar w:fldCharType="begin"/>
      </w:r>
      <w:r w:rsidR="00A92D0A">
        <w:instrText xml:space="preserve"> SEQ Figure \* ARABIC </w:instrText>
      </w:r>
      <w:r w:rsidR="00A92D0A">
        <w:fldChar w:fldCharType="separate"/>
      </w:r>
      <w:r w:rsidR="00E33BD3">
        <w:rPr>
          <w:noProof/>
        </w:rPr>
        <w:t>1</w:t>
      </w:r>
      <w:r w:rsidR="00A92D0A">
        <w:rPr>
          <w:noProof/>
        </w:rPr>
        <w:fldChar w:fldCharType="end"/>
      </w:r>
      <w:bookmarkEnd w:id="7"/>
      <w:r>
        <w:t>. Overall mean nominal</w:t>
      </w:r>
      <w:r w:rsidR="00350166">
        <w:t xml:space="preserve"> swordfish</w:t>
      </w:r>
      <w:r>
        <w:t xml:space="preserve"> CPUE</w:t>
      </w:r>
      <w:r w:rsidR="00C91B93">
        <w:t xml:space="preserve"> (# swordfish/1000 hooks)</w:t>
      </w:r>
      <w:r>
        <w:t xml:space="preserve"> by 5</w:t>
      </w:r>
      <w:r w:rsidR="00831A13">
        <w:t xml:space="preserve"> </w:t>
      </w:r>
      <w:r w:rsidR="00DC0B5F">
        <w:t>×</w:t>
      </w:r>
      <w:r w:rsidR="00831A13">
        <w:t xml:space="preserve"> </w:t>
      </w:r>
      <w:r>
        <w:t xml:space="preserve">5° square for the Hawaii-based longline </w:t>
      </w:r>
      <w:r w:rsidR="000D0A0F">
        <w:t>shallow-set</w:t>
      </w:r>
      <w:r>
        <w:t xml:space="preserve"> fishery</w:t>
      </w:r>
      <w:r w:rsidRPr="00061043">
        <w:t xml:space="preserve"> </w:t>
      </w:r>
      <w:r>
        <w:t xml:space="preserve">from the Pacific Islands Regional Observer Program </w:t>
      </w:r>
      <w:r w:rsidR="00345600">
        <w:t>data set</w:t>
      </w:r>
      <w:r>
        <w:t xml:space="preserve">. </w:t>
      </w:r>
      <w:r w:rsidRPr="00061043">
        <w:t>Squares with fewer than three vessels have be</w:t>
      </w:r>
      <w:r>
        <w:t xml:space="preserve">en excluded </w:t>
      </w:r>
      <w:r w:rsidR="00507019">
        <w:t xml:space="preserve">from the plot </w:t>
      </w:r>
      <w:r>
        <w:t>for confidentiality.</w:t>
      </w:r>
      <w:r w:rsidR="00177231">
        <w:t xml:space="preserve"> Co</w:t>
      </w:r>
      <w:r w:rsidR="00B565CC">
        <w:t>ntours</w:t>
      </w:r>
      <w:r w:rsidR="00C609FE">
        <w:t xml:space="preserve"> indicate</w:t>
      </w:r>
      <w:r w:rsidR="00B565CC">
        <w:t xml:space="preserve"> a change of 2 CPUE</w:t>
      </w:r>
      <w:r w:rsidR="00350166">
        <w:t xml:space="preserve"> values</w:t>
      </w:r>
      <w:r w:rsidR="00B565CC">
        <w:t>.</w:t>
      </w:r>
      <w:r w:rsidR="007B59DB">
        <w:t xml:space="preserve"> The Hawaii archipelago is plotted in left half along the center of the plot</w:t>
      </w:r>
      <w:r w:rsidR="00255E99">
        <w:t xml:space="preserve"> in white</w:t>
      </w:r>
      <w:r w:rsidR="007B59DB">
        <w:t xml:space="preserve">. </w:t>
      </w:r>
    </w:p>
    <w:p w14:paraId="035062E2" w14:textId="77777777" w:rsidR="00B565CC" w:rsidRPr="00B565CC" w:rsidRDefault="00B565CC" w:rsidP="00B565CC"/>
    <w:p w14:paraId="3DEE3325" w14:textId="77777777" w:rsidR="00061043" w:rsidRDefault="00061043" w:rsidP="00255E99">
      <w:pPr>
        <w:keepNext/>
        <w:jc w:val="center"/>
      </w:pPr>
      <w:r>
        <w:rPr>
          <w:noProof/>
        </w:rPr>
        <w:drawing>
          <wp:inline distT="0" distB="0" distL="0" distR="0" wp14:anchorId="79F8AC9B" wp14:editId="5402B11D">
            <wp:extent cx="5943600" cy="4515656"/>
            <wp:effectExtent l="0" t="0" r="0" b="0"/>
            <wp:docPr id="1" name="Picture 1" descr="Annual mean CPUE by 5 by 5 degree square for the shallow set longline fleet. Figure shows higher CPUE in the north and lower CPUE in the so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ualSpatialShallowNomCPUE.png"/>
                    <pic:cNvPicPr/>
                  </pic:nvPicPr>
                  <pic:blipFill rotWithShape="1">
                    <a:blip r:embed="rId18">
                      <a:extLst>
                        <a:ext uri="{28A0092B-C50C-407E-A947-70E740481C1C}">
                          <a14:useLocalDpi xmlns:a14="http://schemas.microsoft.com/office/drawing/2010/main" val="0"/>
                        </a:ext>
                      </a:extLst>
                    </a:blip>
                    <a:srcRect l="8534" r="8571"/>
                    <a:stretch/>
                  </pic:blipFill>
                  <pic:spPr bwMode="auto">
                    <a:xfrm>
                      <a:off x="0" y="0"/>
                      <a:ext cx="5954126" cy="4523653"/>
                    </a:xfrm>
                    <a:prstGeom prst="rect">
                      <a:avLst/>
                    </a:prstGeom>
                    <a:ln>
                      <a:noFill/>
                    </a:ln>
                    <a:extLst>
                      <a:ext uri="{53640926-AAD7-44D8-BBD7-CCE9431645EC}">
                        <a14:shadowObscured xmlns:a14="http://schemas.microsoft.com/office/drawing/2010/main"/>
                      </a:ext>
                    </a:extLst>
                  </pic:spPr>
                </pic:pic>
              </a:graphicData>
            </a:graphic>
          </wp:inline>
        </w:drawing>
      </w:r>
    </w:p>
    <w:p w14:paraId="762CF160" w14:textId="589251F2" w:rsidR="00061043" w:rsidRDefault="00061043">
      <w:pPr>
        <w:pStyle w:val="Caption"/>
      </w:pPr>
      <w:bookmarkStart w:id="8" w:name="_Ref500417822"/>
      <w:r>
        <w:t xml:space="preserve">Figure </w:t>
      </w:r>
      <w:r w:rsidR="00A92D0A">
        <w:fldChar w:fldCharType="begin"/>
      </w:r>
      <w:r w:rsidR="00A92D0A">
        <w:instrText xml:space="preserve"> SEQ Figure \* ARABIC </w:instrText>
      </w:r>
      <w:r w:rsidR="00A92D0A">
        <w:fldChar w:fldCharType="separate"/>
      </w:r>
      <w:r w:rsidR="00E33BD3">
        <w:rPr>
          <w:noProof/>
        </w:rPr>
        <w:t>2</w:t>
      </w:r>
      <w:r w:rsidR="00A92D0A">
        <w:rPr>
          <w:noProof/>
        </w:rPr>
        <w:fldChar w:fldCharType="end"/>
      </w:r>
      <w:bookmarkEnd w:id="8"/>
      <w:r>
        <w:t>. Annual mean nominal</w:t>
      </w:r>
      <w:r w:rsidR="009641C7">
        <w:t xml:space="preserve"> swordfish</w:t>
      </w:r>
      <w:r>
        <w:t xml:space="preserve"> CPUE </w:t>
      </w:r>
      <w:r w:rsidR="009641C7">
        <w:t xml:space="preserve">(# swordfish/1000 hooks) </w:t>
      </w:r>
      <w:r>
        <w:t xml:space="preserve">for the Hawaii-based longline </w:t>
      </w:r>
      <w:r w:rsidR="000D0A0F">
        <w:t>shallow-set</w:t>
      </w:r>
      <w:r>
        <w:t xml:space="preserve"> </w:t>
      </w:r>
      <w:r w:rsidR="001C028D">
        <w:t xml:space="preserve">fishery </w:t>
      </w:r>
      <w:r>
        <w:t>in 5</w:t>
      </w:r>
      <w:r w:rsidR="0003114A">
        <w:t xml:space="preserve"> × </w:t>
      </w:r>
      <w:r>
        <w:t>5° squares</w:t>
      </w:r>
      <w:r w:rsidRPr="00061043">
        <w:t xml:space="preserve"> </w:t>
      </w:r>
      <w:r>
        <w:t xml:space="preserve">from the Pacific Islands Regional Observer Program </w:t>
      </w:r>
      <w:r w:rsidR="00345600">
        <w:t>data set</w:t>
      </w:r>
      <w:r>
        <w:t xml:space="preserve">. </w:t>
      </w:r>
      <w:r w:rsidRPr="00061043">
        <w:t>Squares with fewer than three vessels have be</w:t>
      </w:r>
      <w:r>
        <w:t xml:space="preserve">en </w:t>
      </w:r>
      <w:r>
        <w:lastRenderedPageBreak/>
        <w:t>excluded</w:t>
      </w:r>
      <w:r w:rsidR="00507019">
        <w:t xml:space="preserve"> from the plot</w:t>
      </w:r>
      <w:r>
        <w:t xml:space="preserve"> for confidentiality. Years 2001</w:t>
      </w:r>
      <w:r w:rsidR="0003114A">
        <w:t>–</w:t>
      </w:r>
      <w:r>
        <w:t xml:space="preserve">2004 </w:t>
      </w:r>
      <w:r w:rsidR="0073682D">
        <w:t>are not plotted</w:t>
      </w:r>
      <w:r>
        <w:t xml:space="preserve"> due to the fishery closure.</w:t>
      </w:r>
    </w:p>
    <w:p w14:paraId="3534E60A" w14:textId="77777777" w:rsidR="00757CCA" w:rsidRDefault="00757CCA" w:rsidP="00255E99">
      <w:pPr>
        <w:keepNext/>
        <w:jc w:val="center"/>
      </w:pPr>
      <w:r>
        <w:rPr>
          <w:noProof/>
        </w:rPr>
        <w:drawing>
          <wp:inline distT="0" distB="0" distL="0" distR="0" wp14:anchorId="06519AA7" wp14:editId="03A6A87A">
            <wp:extent cx="4648200" cy="3390305"/>
            <wp:effectExtent l="0" t="0" r="0" b="635"/>
            <wp:docPr id="15" name="Picture 15" descr="Total number of hooks set in 5x5° squares by the Hawaii-based longline shallow set fishery from the Pacific Islands Regional Observer Program dataset. Squares with fewer than three vessels are excluded for confidentiality. The majority of hooks are set north of the Hawaiian Islands to 35 degrees N Latitude and between 175 and 145 W Longit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alTotalHooks.png"/>
                    <pic:cNvPicPr/>
                  </pic:nvPicPr>
                  <pic:blipFill>
                    <a:blip r:embed="rId19">
                      <a:extLst>
                        <a:ext uri="{28A0092B-C50C-407E-A947-70E740481C1C}">
                          <a14:useLocalDpi xmlns:a14="http://schemas.microsoft.com/office/drawing/2010/main" val="0"/>
                        </a:ext>
                      </a:extLst>
                    </a:blip>
                    <a:stretch>
                      <a:fillRect/>
                    </a:stretch>
                  </pic:blipFill>
                  <pic:spPr>
                    <a:xfrm>
                      <a:off x="0" y="0"/>
                      <a:ext cx="4660878" cy="3399552"/>
                    </a:xfrm>
                    <a:prstGeom prst="rect">
                      <a:avLst/>
                    </a:prstGeom>
                  </pic:spPr>
                </pic:pic>
              </a:graphicData>
            </a:graphic>
          </wp:inline>
        </w:drawing>
      </w:r>
    </w:p>
    <w:p w14:paraId="4969D258" w14:textId="2710B7D5" w:rsidR="00757CCA" w:rsidRDefault="00757CCA">
      <w:pPr>
        <w:pStyle w:val="Caption"/>
        <w:rPr>
          <w:noProof/>
        </w:rPr>
      </w:pPr>
      <w:bookmarkStart w:id="9" w:name="_Ref500418426"/>
      <w:r>
        <w:t xml:space="preserve">Figure </w:t>
      </w:r>
      <w:r w:rsidR="00A92D0A">
        <w:fldChar w:fldCharType="begin"/>
      </w:r>
      <w:r w:rsidR="00A92D0A">
        <w:instrText xml:space="preserve"> SEQ Figure \* ARABIC </w:instrText>
      </w:r>
      <w:r w:rsidR="00A92D0A">
        <w:fldChar w:fldCharType="separate"/>
      </w:r>
      <w:r w:rsidR="00E33BD3">
        <w:rPr>
          <w:noProof/>
        </w:rPr>
        <w:t>3</w:t>
      </w:r>
      <w:r w:rsidR="00A92D0A">
        <w:rPr>
          <w:noProof/>
        </w:rPr>
        <w:fldChar w:fldCharType="end"/>
      </w:r>
      <w:bookmarkEnd w:id="9"/>
      <w:r>
        <w:t>. Total number of hooks set in 5</w:t>
      </w:r>
      <w:r w:rsidR="002415FC">
        <w:t xml:space="preserve"> </w:t>
      </w:r>
      <w:r w:rsidR="00834F03">
        <w:t>×</w:t>
      </w:r>
      <w:r w:rsidR="002415FC">
        <w:t xml:space="preserve"> </w:t>
      </w:r>
      <w:r>
        <w:t xml:space="preserve">5° squares by the Hawaii-based longline </w:t>
      </w:r>
      <w:r w:rsidR="000D0A0F">
        <w:t>shallow-set</w:t>
      </w:r>
      <w:r>
        <w:t xml:space="preserve"> fishery</w:t>
      </w:r>
      <w:r w:rsidR="00E4365A">
        <w:t xml:space="preserve"> using data from 1995-2000</w:t>
      </w:r>
      <w:r>
        <w:t xml:space="preserve"> </w:t>
      </w:r>
      <w:r w:rsidR="00E4365A">
        <w:t xml:space="preserve">and 2005-2016 </w:t>
      </w:r>
      <w:r w:rsidR="00D66D55">
        <w:t xml:space="preserve">using </w:t>
      </w:r>
      <w:r>
        <w:t xml:space="preserve">the Pacific Islands Regional Observer Program </w:t>
      </w:r>
      <w:r w:rsidR="00345600">
        <w:t>data set</w:t>
      </w:r>
      <w:r>
        <w:t>.</w:t>
      </w:r>
      <w:r>
        <w:rPr>
          <w:noProof/>
        </w:rPr>
        <w:t xml:space="preserve"> Squ</w:t>
      </w:r>
      <w:r w:rsidR="00327A8E">
        <w:rPr>
          <w:noProof/>
        </w:rPr>
        <w:t>are</w:t>
      </w:r>
      <w:r>
        <w:rPr>
          <w:noProof/>
        </w:rPr>
        <w:t xml:space="preserve">s with fewer than three vessels </w:t>
      </w:r>
      <w:r w:rsidR="00327A8E">
        <w:rPr>
          <w:noProof/>
        </w:rPr>
        <w:t>were</w:t>
      </w:r>
      <w:r>
        <w:rPr>
          <w:noProof/>
        </w:rPr>
        <w:t xml:space="preserve"> excluded </w:t>
      </w:r>
      <w:r w:rsidR="00507019">
        <w:rPr>
          <w:noProof/>
        </w:rPr>
        <w:t xml:space="preserve">from the plot </w:t>
      </w:r>
      <w:r>
        <w:rPr>
          <w:noProof/>
        </w:rPr>
        <w:t>for confidentiality.</w:t>
      </w:r>
    </w:p>
    <w:p w14:paraId="7BB74318" w14:textId="77777777" w:rsidR="00757CCA" w:rsidRDefault="00757CCA" w:rsidP="00255E99">
      <w:pPr>
        <w:keepNext/>
        <w:jc w:val="center"/>
      </w:pPr>
      <w:r>
        <w:rPr>
          <w:noProof/>
        </w:rPr>
        <w:drawing>
          <wp:inline distT="0" distB="0" distL="0" distR="0" wp14:anchorId="2B99FF74" wp14:editId="4DE9C248">
            <wp:extent cx="4705350" cy="3431989"/>
            <wp:effectExtent l="0" t="0" r="0" b="0"/>
            <wp:docPr id="16" name="Picture 16" descr="Total number of sets recorded in 5x5° squares by the Hawaii-based longline shallow set fishery in the Pacific Islands Regional Observer Program dataset. Squares with fewer than three vessels reporting sets are excluded for confidentiality. Most of the sets are north of the Hawaiian Islands to 35 degrees N Latitude and between 175 and 145 W Longit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alTotalSets.png"/>
                    <pic:cNvPicPr/>
                  </pic:nvPicPr>
                  <pic:blipFill>
                    <a:blip r:embed="rId20">
                      <a:extLst>
                        <a:ext uri="{28A0092B-C50C-407E-A947-70E740481C1C}">
                          <a14:useLocalDpi xmlns:a14="http://schemas.microsoft.com/office/drawing/2010/main" val="0"/>
                        </a:ext>
                      </a:extLst>
                    </a:blip>
                    <a:stretch>
                      <a:fillRect/>
                    </a:stretch>
                  </pic:blipFill>
                  <pic:spPr>
                    <a:xfrm>
                      <a:off x="0" y="0"/>
                      <a:ext cx="4718882" cy="3441859"/>
                    </a:xfrm>
                    <a:prstGeom prst="rect">
                      <a:avLst/>
                    </a:prstGeom>
                  </pic:spPr>
                </pic:pic>
              </a:graphicData>
            </a:graphic>
          </wp:inline>
        </w:drawing>
      </w:r>
    </w:p>
    <w:p w14:paraId="4095FAB6" w14:textId="74CF2B3F" w:rsidR="00757CCA" w:rsidRPr="00757CCA" w:rsidRDefault="00757CCA">
      <w:pPr>
        <w:pStyle w:val="Caption"/>
      </w:pPr>
      <w:bookmarkStart w:id="10" w:name="_Ref500418430"/>
      <w:r>
        <w:t xml:space="preserve">Figure </w:t>
      </w:r>
      <w:r w:rsidR="00A92D0A">
        <w:fldChar w:fldCharType="begin"/>
      </w:r>
      <w:r w:rsidR="00A92D0A">
        <w:instrText xml:space="preserve"> SEQ Figure \* ARABIC </w:instrText>
      </w:r>
      <w:r w:rsidR="00A92D0A">
        <w:fldChar w:fldCharType="separate"/>
      </w:r>
      <w:r w:rsidR="00E33BD3">
        <w:rPr>
          <w:noProof/>
        </w:rPr>
        <w:t>4</w:t>
      </w:r>
      <w:r w:rsidR="00A92D0A">
        <w:rPr>
          <w:noProof/>
        </w:rPr>
        <w:fldChar w:fldCharType="end"/>
      </w:r>
      <w:bookmarkEnd w:id="10"/>
      <w:r>
        <w:t>. Total number of sets recorded in 5</w:t>
      </w:r>
      <w:r w:rsidR="00834F03">
        <w:t xml:space="preserve"> × </w:t>
      </w:r>
      <w:r>
        <w:t xml:space="preserve">5° squares by the Hawaii-based longline </w:t>
      </w:r>
      <w:r w:rsidR="000D0A0F">
        <w:t>shallow-set</w:t>
      </w:r>
      <w:r>
        <w:t xml:space="preserve"> fishery </w:t>
      </w:r>
      <w:r w:rsidR="00CD5A96">
        <w:t>using data from 1995</w:t>
      </w:r>
      <w:r w:rsidR="00834F03">
        <w:t>–</w:t>
      </w:r>
      <w:r w:rsidR="00CD5A96">
        <w:t>2000 and 2005</w:t>
      </w:r>
      <w:r w:rsidR="00834F03">
        <w:t>–</w:t>
      </w:r>
      <w:r w:rsidR="00CD5A96">
        <w:t xml:space="preserve">2016 </w:t>
      </w:r>
      <w:r w:rsidR="00D66D55">
        <w:t xml:space="preserve">using </w:t>
      </w:r>
      <w:r>
        <w:t xml:space="preserve">the Pacific Islands Regional Observer Program </w:t>
      </w:r>
      <w:r w:rsidR="00345600">
        <w:t>data set</w:t>
      </w:r>
      <w:r>
        <w:t xml:space="preserve">. Squares with fewer than three vessels reporting sets </w:t>
      </w:r>
      <w:r w:rsidR="00327A8E">
        <w:t>were</w:t>
      </w:r>
      <w:r>
        <w:t xml:space="preserve"> excluded</w:t>
      </w:r>
      <w:r w:rsidR="00507019">
        <w:t xml:space="preserve"> from the plot</w:t>
      </w:r>
      <w:r>
        <w:t xml:space="preserve"> for confidentiality.</w:t>
      </w:r>
    </w:p>
    <w:p w14:paraId="54BFEFDB" w14:textId="77777777" w:rsidR="00177231" w:rsidRDefault="00177231" w:rsidP="00177231">
      <w:pPr>
        <w:keepNext/>
      </w:pPr>
      <w:r>
        <w:rPr>
          <w:noProof/>
        </w:rPr>
        <w:lastRenderedPageBreak/>
        <w:drawing>
          <wp:inline distT="0" distB="0" distL="0" distR="0" wp14:anchorId="1BCF2664" wp14:editId="750082D2">
            <wp:extent cx="5162550" cy="3569109"/>
            <wp:effectExtent l="0" t="0" r="0" b="0"/>
            <wp:docPr id="5" name="Picture 5" descr="Begin set time versus number of hooks per float for the Hawaii longline shallow set fishery. Patterns indicate the majority of sets take place after 6pm and before 6am using between 4 and 6 hooks per float. Almost no sets begin during daylight hours, the majority begin between 6pm and mid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lBeginSetTimevsHPF.png"/>
                    <pic:cNvPicPr/>
                  </pic:nvPicPr>
                  <pic:blipFill>
                    <a:blip r:embed="rId21">
                      <a:extLst>
                        <a:ext uri="{28A0092B-C50C-407E-A947-70E740481C1C}">
                          <a14:useLocalDpi xmlns:a14="http://schemas.microsoft.com/office/drawing/2010/main" val="0"/>
                        </a:ext>
                      </a:extLst>
                    </a:blip>
                    <a:stretch>
                      <a:fillRect/>
                    </a:stretch>
                  </pic:blipFill>
                  <pic:spPr>
                    <a:xfrm>
                      <a:off x="0" y="0"/>
                      <a:ext cx="5209465" cy="3601544"/>
                    </a:xfrm>
                    <a:prstGeom prst="rect">
                      <a:avLst/>
                    </a:prstGeom>
                  </pic:spPr>
                </pic:pic>
              </a:graphicData>
            </a:graphic>
          </wp:inline>
        </w:drawing>
      </w:r>
    </w:p>
    <w:p w14:paraId="6261994C" w14:textId="4ABB00CE" w:rsidR="00177231" w:rsidRDefault="00177231">
      <w:pPr>
        <w:pStyle w:val="Caption"/>
      </w:pPr>
      <w:bookmarkStart w:id="11" w:name="_Ref500418644"/>
      <w:r>
        <w:t xml:space="preserve">Figure </w:t>
      </w:r>
      <w:r w:rsidR="00A92D0A">
        <w:fldChar w:fldCharType="begin"/>
      </w:r>
      <w:r w:rsidR="00A92D0A">
        <w:instrText xml:space="preserve"> SEQ Figure \* ARABIC </w:instrText>
      </w:r>
      <w:r w:rsidR="00A92D0A">
        <w:fldChar w:fldCharType="separate"/>
      </w:r>
      <w:r w:rsidR="00E33BD3">
        <w:rPr>
          <w:noProof/>
        </w:rPr>
        <w:t>5</w:t>
      </w:r>
      <w:r w:rsidR="00A92D0A">
        <w:rPr>
          <w:noProof/>
        </w:rPr>
        <w:fldChar w:fldCharType="end"/>
      </w:r>
      <w:bookmarkEnd w:id="11"/>
      <w:r>
        <w:t xml:space="preserve">. Begin set time vs number of hooks per float for the Hawaii longline </w:t>
      </w:r>
      <w:r w:rsidR="000D0A0F">
        <w:t>shallow-set</w:t>
      </w:r>
      <w:r>
        <w:t xml:space="preserve"> fishery.</w:t>
      </w:r>
      <w:r w:rsidR="00E710EE">
        <w:t xml:space="preserve"> Points are “jittered” so that the density of points can be seen at each set time/HPF combination.</w:t>
      </w:r>
    </w:p>
    <w:p w14:paraId="5542D24C" w14:textId="77777777" w:rsidR="009169D0" w:rsidRDefault="009169D0" w:rsidP="009169D0">
      <w:pPr>
        <w:keepNext/>
      </w:pPr>
      <w:r>
        <w:rPr>
          <w:noProof/>
        </w:rPr>
        <w:drawing>
          <wp:inline distT="0" distB="0" distL="0" distR="0" wp14:anchorId="2FA7B0D8" wp14:editId="4F38205D">
            <wp:extent cx="5095875" cy="3523013"/>
            <wp:effectExtent l="0" t="0" r="0" b="1270"/>
            <wp:docPr id="6" name="Picture 6" descr="Begin set time by year for the Hawaiian longline shallow set fishery. Begin set times are between 4pm and 9am before the fishery closure, with almost no sets after midnight after the closure  in 2001-2004, indicating a change in the fishing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alBeginSetTimevsYear.png"/>
                    <pic:cNvPicPr/>
                  </pic:nvPicPr>
                  <pic:blipFill>
                    <a:blip r:embed="rId22">
                      <a:extLst>
                        <a:ext uri="{28A0092B-C50C-407E-A947-70E740481C1C}">
                          <a14:useLocalDpi xmlns:a14="http://schemas.microsoft.com/office/drawing/2010/main" val="0"/>
                        </a:ext>
                      </a:extLst>
                    </a:blip>
                    <a:stretch>
                      <a:fillRect/>
                    </a:stretch>
                  </pic:blipFill>
                  <pic:spPr>
                    <a:xfrm>
                      <a:off x="0" y="0"/>
                      <a:ext cx="5100294" cy="3526068"/>
                    </a:xfrm>
                    <a:prstGeom prst="rect">
                      <a:avLst/>
                    </a:prstGeom>
                  </pic:spPr>
                </pic:pic>
              </a:graphicData>
            </a:graphic>
          </wp:inline>
        </w:drawing>
      </w:r>
    </w:p>
    <w:p w14:paraId="7F8A97B4" w14:textId="031AAE7D" w:rsidR="009169D0" w:rsidRDefault="009169D0">
      <w:pPr>
        <w:pStyle w:val="Caption"/>
      </w:pPr>
      <w:bookmarkStart w:id="12" w:name="_Ref500418743"/>
      <w:r>
        <w:t xml:space="preserve">Figure </w:t>
      </w:r>
      <w:r w:rsidR="00A92D0A">
        <w:fldChar w:fldCharType="begin"/>
      </w:r>
      <w:r w:rsidR="00A92D0A">
        <w:instrText xml:space="preserve"> SEQ Figure \* ARABIC </w:instrText>
      </w:r>
      <w:r w:rsidR="00A92D0A">
        <w:fldChar w:fldCharType="separate"/>
      </w:r>
      <w:r w:rsidR="00E33BD3">
        <w:rPr>
          <w:noProof/>
        </w:rPr>
        <w:t>6</w:t>
      </w:r>
      <w:r w:rsidR="00A92D0A">
        <w:rPr>
          <w:noProof/>
        </w:rPr>
        <w:fldChar w:fldCharType="end"/>
      </w:r>
      <w:bookmarkEnd w:id="12"/>
      <w:r>
        <w:t xml:space="preserve">. Begin set time by year for the Hawaiian longline </w:t>
      </w:r>
      <w:r w:rsidR="000D0A0F">
        <w:t>shallow-set</w:t>
      </w:r>
      <w:r>
        <w:t xml:space="preserve"> fishery.</w:t>
      </w:r>
    </w:p>
    <w:p w14:paraId="02EADC64" w14:textId="77777777" w:rsidR="009169D0" w:rsidRDefault="009169D0" w:rsidP="009169D0">
      <w:pPr>
        <w:keepNext/>
      </w:pPr>
      <w:r>
        <w:rPr>
          <w:noProof/>
        </w:rPr>
        <w:lastRenderedPageBreak/>
        <w:drawing>
          <wp:inline distT="0" distB="0" distL="0" distR="0" wp14:anchorId="373E7E15" wp14:editId="7377AD7D">
            <wp:extent cx="4705350" cy="3253026"/>
            <wp:effectExtent l="0" t="0" r="0" b="5080"/>
            <wp:docPr id="7" name="Picture 7" descr="Jitter plot showing the number of hooks per float by year for the Hawaiian longline shallow set fishery. Before the closure in 2001 the majority of sets have between 4-6 hooks per float with some sets having 12 hooks per float. After the closure in 2004 there are almost no sets with more than 7 hooks per f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lHPFvsYearJitte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32016" cy="3271461"/>
                    </a:xfrm>
                    <a:prstGeom prst="rect">
                      <a:avLst/>
                    </a:prstGeom>
                  </pic:spPr>
                </pic:pic>
              </a:graphicData>
            </a:graphic>
          </wp:inline>
        </w:drawing>
      </w:r>
    </w:p>
    <w:p w14:paraId="07158F85" w14:textId="31A4A81C" w:rsidR="009169D0" w:rsidRDefault="009169D0">
      <w:pPr>
        <w:pStyle w:val="Caption"/>
      </w:pPr>
      <w:bookmarkStart w:id="13" w:name="_Ref500418898"/>
      <w:r>
        <w:t xml:space="preserve">Figure </w:t>
      </w:r>
      <w:r w:rsidR="00A92D0A">
        <w:fldChar w:fldCharType="begin"/>
      </w:r>
      <w:r w:rsidR="00A92D0A">
        <w:instrText xml:space="preserve"> SEQ Figure \* ARABIC </w:instrText>
      </w:r>
      <w:r w:rsidR="00A92D0A">
        <w:fldChar w:fldCharType="separate"/>
      </w:r>
      <w:r w:rsidR="00E33BD3">
        <w:rPr>
          <w:noProof/>
        </w:rPr>
        <w:t>7</w:t>
      </w:r>
      <w:r w:rsidR="00A92D0A">
        <w:rPr>
          <w:noProof/>
        </w:rPr>
        <w:fldChar w:fldCharType="end"/>
      </w:r>
      <w:bookmarkEnd w:id="13"/>
      <w:r>
        <w:t xml:space="preserve">. </w:t>
      </w:r>
      <w:r w:rsidR="005E4ABE">
        <w:t>Jitter plot showing the n</w:t>
      </w:r>
      <w:r>
        <w:t xml:space="preserve">umber of hooks per float by year for the Hawaiian longline </w:t>
      </w:r>
      <w:r w:rsidR="000D0A0F">
        <w:t>shallow-set</w:t>
      </w:r>
      <w:r>
        <w:t xml:space="preserve"> fishery.</w:t>
      </w:r>
      <w:r w:rsidR="005E4ABE">
        <w:t xml:space="preserve"> Both hooks per float and year </w:t>
      </w:r>
      <w:r w:rsidR="00327A8E">
        <w:t>were</w:t>
      </w:r>
      <w:r w:rsidR="005E4ABE">
        <w:t xml:space="preserve"> discrete variables, the spread of points is to show the density of each year/HPF combination.</w:t>
      </w:r>
    </w:p>
    <w:p w14:paraId="612F94B8" w14:textId="77777777" w:rsidR="00D06C8F" w:rsidRDefault="005500B8" w:rsidP="00D06C8F">
      <w:pPr>
        <w:keepNext/>
      </w:pPr>
      <w:r>
        <w:rPr>
          <w:noProof/>
        </w:rPr>
        <w:drawing>
          <wp:inline distT="0" distB="0" distL="0" distR="0" wp14:anchorId="514787A6" wp14:editId="402BD33B">
            <wp:extent cx="5410200" cy="3461719"/>
            <wp:effectExtent l="0" t="0" r="0" b="5715"/>
            <wp:docPr id="8" name="Picture 8" descr="Boxplots of CPUE by year show increasing CPUE before the 2001 closure and relatively steady CPUE after the end of the closure in 2004. The boxplot of CPUE by quarter show the CPUE decreasing from Quarter 1 to Quarter 3 and a slight increase in Quarter 4. The boxplot of CPUE by hooks per float show decreasing CPUE with increasing hooks per float. The boxplot of CPUE by bait type show little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lNomCPUE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17309" cy="3466267"/>
                    </a:xfrm>
                    <a:prstGeom prst="rect">
                      <a:avLst/>
                    </a:prstGeom>
                  </pic:spPr>
                </pic:pic>
              </a:graphicData>
            </a:graphic>
          </wp:inline>
        </w:drawing>
      </w:r>
    </w:p>
    <w:p w14:paraId="7969388A" w14:textId="14D20495" w:rsidR="009169D0" w:rsidRDefault="00D06C8F">
      <w:pPr>
        <w:pStyle w:val="Caption"/>
      </w:pPr>
      <w:bookmarkStart w:id="14" w:name="_Ref500419956"/>
      <w:r>
        <w:t xml:space="preserve">Figure </w:t>
      </w:r>
      <w:r w:rsidR="00A92D0A">
        <w:fldChar w:fldCharType="begin"/>
      </w:r>
      <w:r w:rsidR="00A92D0A">
        <w:instrText xml:space="preserve"> SEQ Figure \* ARABIC </w:instrText>
      </w:r>
      <w:r w:rsidR="00A92D0A">
        <w:fldChar w:fldCharType="separate"/>
      </w:r>
      <w:r w:rsidR="00E33BD3">
        <w:rPr>
          <w:noProof/>
        </w:rPr>
        <w:t>8</w:t>
      </w:r>
      <w:r w:rsidR="00A92D0A">
        <w:rPr>
          <w:noProof/>
        </w:rPr>
        <w:fldChar w:fldCharType="end"/>
      </w:r>
      <w:bookmarkEnd w:id="14"/>
      <w:r>
        <w:t xml:space="preserve">. Boxplots of </w:t>
      </w:r>
      <w:r w:rsidR="00FC1A5B">
        <w:t>n</w:t>
      </w:r>
      <w:r>
        <w:t xml:space="preserve">ominal </w:t>
      </w:r>
      <w:r w:rsidR="00FC1A5B">
        <w:t xml:space="preserve">swordfish </w:t>
      </w:r>
      <w:r>
        <w:t xml:space="preserve">CPUE </w:t>
      </w:r>
      <w:r w:rsidR="00FC1A5B">
        <w:t xml:space="preserve">(# swordfish/1000 hooks) </w:t>
      </w:r>
      <w:r>
        <w:t xml:space="preserve">by year (top left), quarter (top right), hooks per float (bottom left), and bait type (bottom right) for the Hawaii-based longline </w:t>
      </w:r>
      <w:r w:rsidR="000D0A0F">
        <w:t>shallow-set</w:t>
      </w:r>
      <w:r>
        <w:t xml:space="preserve"> fishery.</w:t>
      </w:r>
    </w:p>
    <w:p w14:paraId="54AAF1A7" w14:textId="77777777" w:rsidR="00D06C8F" w:rsidRDefault="00D06C8F" w:rsidP="00D06C8F">
      <w:pPr>
        <w:keepNext/>
      </w:pPr>
      <w:r>
        <w:rPr>
          <w:noProof/>
        </w:rPr>
        <w:lastRenderedPageBreak/>
        <w:drawing>
          <wp:inline distT="0" distB="0" distL="0" distR="0" wp14:anchorId="6C5355CC" wp14:editId="61505FA0">
            <wp:extent cx="5781675" cy="3290283"/>
            <wp:effectExtent l="0" t="0" r="0" b="5715"/>
            <wp:docPr id="9" name="Picture 9" descr="Boxplots of nominal swordfish CPUE (# swordfish/1000 hooks) by longitude  and latitude. Plots of CPUE vs hooks per set and lunar illumination for the Hawaii-based longline shallow-set fish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alNomCPUE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84777" cy="3292048"/>
                    </a:xfrm>
                    <a:prstGeom prst="rect">
                      <a:avLst/>
                    </a:prstGeom>
                  </pic:spPr>
                </pic:pic>
              </a:graphicData>
            </a:graphic>
          </wp:inline>
        </w:drawing>
      </w:r>
    </w:p>
    <w:p w14:paraId="3D0586AF" w14:textId="58067A68" w:rsidR="00D06C8F" w:rsidRDefault="00D06C8F">
      <w:pPr>
        <w:pStyle w:val="Caption"/>
      </w:pPr>
      <w:bookmarkStart w:id="15" w:name="_Ref500420277"/>
      <w:r>
        <w:t xml:space="preserve">Figure </w:t>
      </w:r>
      <w:r w:rsidR="00A92D0A">
        <w:fldChar w:fldCharType="begin"/>
      </w:r>
      <w:r w:rsidR="00A92D0A">
        <w:instrText xml:space="preserve"> SEQ Figure \* ARABIC </w:instrText>
      </w:r>
      <w:r w:rsidR="00A92D0A">
        <w:fldChar w:fldCharType="separate"/>
      </w:r>
      <w:r w:rsidR="00E33BD3">
        <w:rPr>
          <w:noProof/>
        </w:rPr>
        <w:t>9</w:t>
      </w:r>
      <w:r w:rsidR="00A92D0A">
        <w:rPr>
          <w:noProof/>
        </w:rPr>
        <w:fldChar w:fldCharType="end"/>
      </w:r>
      <w:bookmarkEnd w:id="15"/>
      <w:r>
        <w:t xml:space="preserve">. </w:t>
      </w:r>
      <w:r w:rsidRPr="00356471">
        <w:t xml:space="preserve">Boxplots of </w:t>
      </w:r>
      <w:r w:rsidR="00FC1A5B">
        <w:t>n</w:t>
      </w:r>
      <w:r w:rsidRPr="00356471">
        <w:t>ominal</w:t>
      </w:r>
      <w:r w:rsidR="00FC1A5B">
        <w:t xml:space="preserve"> swordfish</w:t>
      </w:r>
      <w:r w:rsidRPr="00356471">
        <w:t xml:space="preserve"> CPUE </w:t>
      </w:r>
      <w:r w:rsidR="00FC1A5B">
        <w:t xml:space="preserve">(# swordfish/1000 hooks) </w:t>
      </w:r>
      <w:r w:rsidRPr="00356471">
        <w:t xml:space="preserve">by </w:t>
      </w:r>
      <w:r>
        <w:t>longitude</w:t>
      </w:r>
      <w:r w:rsidRPr="00356471">
        <w:t xml:space="preserve"> (top left)</w:t>
      </w:r>
      <w:r>
        <w:t xml:space="preserve"> and</w:t>
      </w:r>
      <w:r w:rsidRPr="00356471">
        <w:t xml:space="preserve"> </w:t>
      </w:r>
      <w:r>
        <w:t>latitude</w:t>
      </w:r>
      <w:r w:rsidRPr="00356471">
        <w:t xml:space="preserve"> (top right)</w:t>
      </w:r>
      <w:r>
        <w:t xml:space="preserve">. Plots of CPUE vs </w:t>
      </w:r>
      <w:r w:rsidRPr="00356471">
        <w:t xml:space="preserve">hooks per </w:t>
      </w:r>
      <w:r>
        <w:t>set (bottom left)</w:t>
      </w:r>
      <w:r w:rsidRPr="00356471">
        <w:t xml:space="preserve"> and </w:t>
      </w:r>
      <w:r>
        <w:t>lunar illumination</w:t>
      </w:r>
      <w:r w:rsidRPr="00356471">
        <w:t xml:space="preserve"> (bottom right) for the Hawaii-based longline </w:t>
      </w:r>
      <w:r w:rsidR="000D0A0F">
        <w:t>shallow-set</w:t>
      </w:r>
      <w:r w:rsidRPr="00356471">
        <w:t xml:space="preserve"> fishery.</w:t>
      </w:r>
    </w:p>
    <w:p w14:paraId="180CBA73" w14:textId="77777777" w:rsidR="00D06C8F" w:rsidRDefault="00D06C8F" w:rsidP="00D06C8F">
      <w:pPr>
        <w:keepNext/>
      </w:pPr>
      <w:r>
        <w:rPr>
          <w:noProof/>
        </w:rPr>
        <w:drawing>
          <wp:inline distT="0" distB="0" distL="0" distR="0" wp14:anchorId="6E96E384" wp14:editId="2DA32E26">
            <wp:extent cx="5495925" cy="3326327"/>
            <wp:effectExtent l="0" t="0" r="0" b="7620"/>
            <wp:docPr id="10" name="Picture 10" descr="The plots of nominal CPUE versus mixed layer depth, sea surface temperature, the Pacific Decadal Oscillation Index, and the Southern Oscillation Index show a shotgun pattern with no obvious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alNomCPUE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10538" cy="3335172"/>
                    </a:xfrm>
                    <a:prstGeom prst="rect">
                      <a:avLst/>
                    </a:prstGeom>
                  </pic:spPr>
                </pic:pic>
              </a:graphicData>
            </a:graphic>
          </wp:inline>
        </w:drawing>
      </w:r>
    </w:p>
    <w:p w14:paraId="3B597D35" w14:textId="0B92BD0E" w:rsidR="002016EC" w:rsidRPr="002016EC" w:rsidRDefault="00D06C8F">
      <w:pPr>
        <w:pStyle w:val="Caption"/>
        <w:rPr>
          <w:noProof/>
        </w:rPr>
      </w:pPr>
      <w:bookmarkStart w:id="16" w:name="_Ref500420710"/>
      <w:r>
        <w:t xml:space="preserve">Figure </w:t>
      </w:r>
      <w:r w:rsidR="00A92D0A">
        <w:fldChar w:fldCharType="begin"/>
      </w:r>
      <w:r w:rsidR="00A92D0A">
        <w:instrText xml:space="preserve"> SEQ Figure \* ARABIC </w:instrText>
      </w:r>
      <w:r w:rsidR="00A92D0A">
        <w:fldChar w:fldCharType="separate"/>
      </w:r>
      <w:r w:rsidR="00E33BD3">
        <w:rPr>
          <w:noProof/>
        </w:rPr>
        <w:t>10</w:t>
      </w:r>
      <w:r w:rsidR="00A92D0A">
        <w:rPr>
          <w:noProof/>
        </w:rPr>
        <w:fldChar w:fldCharType="end"/>
      </w:r>
      <w:bookmarkEnd w:id="16"/>
      <w:r>
        <w:t>. P</w:t>
      </w:r>
      <w:r w:rsidRPr="004C3304">
        <w:t xml:space="preserve">lots of </w:t>
      </w:r>
      <w:r w:rsidR="00477E9F">
        <w:t>n</w:t>
      </w:r>
      <w:r w:rsidRPr="004C3304">
        <w:t xml:space="preserve">ominal </w:t>
      </w:r>
      <w:r w:rsidR="00477E9F">
        <w:t xml:space="preserve">swordfish </w:t>
      </w:r>
      <w:r w:rsidRPr="004C3304">
        <w:t xml:space="preserve">CPUE </w:t>
      </w:r>
      <w:r w:rsidR="00477E9F">
        <w:t xml:space="preserve">(# swordfish/1000 hooks) </w:t>
      </w:r>
      <w:r w:rsidRPr="004C3304">
        <w:t xml:space="preserve">by </w:t>
      </w:r>
      <w:r>
        <w:t xml:space="preserve">the mixed layer depth </w:t>
      </w:r>
      <w:r w:rsidRPr="004C3304">
        <w:t>(top left)</w:t>
      </w:r>
      <w:r>
        <w:t>, sea surface temperature</w:t>
      </w:r>
      <w:r w:rsidRPr="004C3304">
        <w:t xml:space="preserve"> (top right)</w:t>
      </w:r>
      <w:r>
        <w:t xml:space="preserve">, </w:t>
      </w:r>
      <w:r w:rsidR="003F5928">
        <w:t xml:space="preserve">and </w:t>
      </w:r>
      <w:r>
        <w:t>the Pacific Decadal Oscillation index</w:t>
      </w:r>
      <w:r w:rsidRPr="004C3304">
        <w:t xml:space="preserve"> (bott</w:t>
      </w:r>
      <w:r>
        <w:t xml:space="preserve">om left) and </w:t>
      </w:r>
      <w:r w:rsidR="003F5928">
        <w:t xml:space="preserve">a boxplot of CPUE versus </w:t>
      </w:r>
      <w:r>
        <w:t xml:space="preserve">the Southern Oscillation Index </w:t>
      </w:r>
      <w:r w:rsidRPr="004C3304">
        <w:t xml:space="preserve">(bottom right) for the Hawaii-based longline </w:t>
      </w:r>
      <w:r w:rsidR="000D0A0F">
        <w:t>shallow-set</w:t>
      </w:r>
      <w:r w:rsidRPr="004C3304">
        <w:t xml:space="preserve"> fishery</w:t>
      </w:r>
      <w:r>
        <w:rPr>
          <w:noProof/>
        </w:rPr>
        <w:t>.</w:t>
      </w:r>
    </w:p>
    <w:p w14:paraId="73253344" w14:textId="77777777" w:rsidR="00B565CC" w:rsidRDefault="00B565CC" w:rsidP="00B565CC">
      <w:pPr>
        <w:keepNext/>
      </w:pPr>
      <w:r>
        <w:rPr>
          <w:noProof/>
        </w:rPr>
        <w:lastRenderedPageBreak/>
        <w:drawing>
          <wp:inline distT="0" distB="0" distL="0" distR="0" wp14:anchorId="682E308F" wp14:editId="4F09C619">
            <wp:extent cx="5638800" cy="3859807"/>
            <wp:effectExtent l="0" t="0" r="0" b="7620"/>
            <wp:docPr id="4" name="Picture 4" descr="Map of overall mean nominal CPUE in 5 by 5 degree squares for the Hawaiian deep set longline fishery. Figure shows overall low CPUE with means between 0 an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mCPUEDeepContour.png"/>
                    <pic:cNvPicPr/>
                  </pic:nvPicPr>
                  <pic:blipFill>
                    <a:blip r:embed="rId27">
                      <a:extLst>
                        <a:ext uri="{28A0092B-C50C-407E-A947-70E740481C1C}">
                          <a14:useLocalDpi xmlns:a14="http://schemas.microsoft.com/office/drawing/2010/main" val="0"/>
                        </a:ext>
                      </a:extLst>
                    </a:blip>
                    <a:stretch>
                      <a:fillRect/>
                    </a:stretch>
                  </pic:blipFill>
                  <pic:spPr>
                    <a:xfrm>
                      <a:off x="0" y="0"/>
                      <a:ext cx="5648820" cy="3866665"/>
                    </a:xfrm>
                    <a:prstGeom prst="rect">
                      <a:avLst/>
                    </a:prstGeom>
                  </pic:spPr>
                </pic:pic>
              </a:graphicData>
            </a:graphic>
          </wp:inline>
        </w:drawing>
      </w:r>
    </w:p>
    <w:p w14:paraId="752CAFCF" w14:textId="0228172C" w:rsidR="00B565CC" w:rsidRDefault="00B565CC">
      <w:pPr>
        <w:pStyle w:val="Caption"/>
      </w:pPr>
      <w:bookmarkStart w:id="17" w:name="_Ref500420808"/>
      <w:r>
        <w:t xml:space="preserve">Figure </w:t>
      </w:r>
      <w:r w:rsidR="00A92D0A">
        <w:fldChar w:fldCharType="begin"/>
      </w:r>
      <w:r w:rsidR="00A92D0A">
        <w:instrText xml:space="preserve"> SEQ Figure \* ARABIC </w:instrText>
      </w:r>
      <w:r w:rsidR="00A92D0A">
        <w:fldChar w:fldCharType="separate"/>
      </w:r>
      <w:r w:rsidR="00E33BD3">
        <w:rPr>
          <w:noProof/>
        </w:rPr>
        <w:t>11</w:t>
      </w:r>
      <w:r w:rsidR="00A92D0A">
        <w:rPr>
          <w:noProof/>
        </w:rPr>
        <w:fldChar w:fldCharType="end"/>
      </w:r>
      <w:bookmarkEnd w:id="17"/>
      <w:r>
        <w:t xml:space="preserve">. </w:t>
      </w:r>
      <w:r w:rsidRPr="0026095C">
        <w:t xml:space="preserve">Overall mean nominal </w:t>
      </w:r>
      <w:r w:rsidR="00BD52A2">
        <w:t xml:space="preserve">swordfish </w:t>
      </w:r>
      <w:r w:rsidRPr="0026095C">
        <w:t xml:space="preserve">CPUE </w:t>
      </w:r>
      <w:r w:rsidR="00BD52A2">
        <w:t xml:space="preserve">(# swordfish/1000 hooks) </w:t>
      </w:r>
      <w:r w:rsidRPr="0026095C">
        <w:t>by 5</w:t>
      </w:r>
      <w:r w:rsidR="00834F03">
        <w:t xml:space="preserve"> × </w:t>
      </w:r>
      <w:r w:rsidRPr="0026095C">
        <w:t xml:space="preserve">5° square for the Hawaii-based longline </w:t>
      </w:r>
      <w:r w:rsidR="00F764D8">
        <w:t>deep-set</w:t>
      </w:r>
      <w:r w:rsidRPr="0026095C">
        <w:t xml:space="preserve"> fishery from the Pacific Islands Regional Observer Program </w:t>
      </w:r>
      <w:r w:rsidR="00345600">
        <w:t>data set</w:t>
      </w:r>
      <w:r w:rsidRPr="0026095C">
        <w:t>. Squares with fewer than three vessels have bee</w:t>
      </w:r>
      <w:r>
        <w:t xml:space="preserve">n excluded </w:t>
      </w:r>
      <w:r w:rsidR="00507019">
        <w:t xml:space="preserve">from the plot </w:t>
      </w:r>
      <w:r>
        <w:t>for confidentiality.</w:t>
      </w:r>
      <w:r w:rsidR="00C173B3">
        <w:t xml:space="preserve"> The Hawaii</w:t>
      </w:r>
      <w:r w:rsidR="00834F03">
        <w:t>an</w:t>
      </w:r>
      <w:r w:rsidR="00127F44">
        <w:t xml:space="preserve"> </w:t>
      </w:r>
      <w:r w:rsidR="00834F03">
        <w:t xml:space="preserve">Archipelago </w:t>
      </w:r>
      <w:r w:rsidR="00C173B3">
        <w:t>is plotted in left half along the center of the plot.</w:t>
      </w:r>
    </w:p>
    <w:p w14:paraId="4E619EFF" w14:textId="77777777" w:rsidR="00061043" w:rsidRDefault="00061043" w:rsidP="002D1253">
      <w:pPr>
        <w:keepNext/>
        <w:jc w:val="center"/>
      </w:pPr>
      <w:r>
        <w:rPr>
          <w:noProof/>
        </w:rPr>
        <w:drawing>
          <wp:inline distT="0" distB="0" distL="0" distR="0" wp14:anchorId="4501995A" wp14:editId="6964FD97">
            <wp:extent cx="5943600" cy="3296920"/>
            <wp:effectExtent l="0" t="0" r="0" b="0"/>
            <wp:docPr id="2" name="Picture 2" descr="Annual mean CPUE by 5 by 5 degree square for the deep set longline fleet. Figure shows generally low CPUE throughout the entire fishe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ualSpatialDeepNomCPU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14:paraId="121D6DCA" w14:textId="4CAA4228" w:rsidR="00061043" w:rsidRDefault="00061043">
      <w:pPr>
        <w:pStyle w:val="Caption"/>
      </w:pPr>
      <w:bookmarkStart w:id="18" w:name="_Ref500420930"/>
      <w:r>
        <w:t xml:space="preserve">Figure </w:t>
      </w:r>
      <w:r w:rsidR="00A92D0A">
        <w:fldChar w:fldCharType="begin"/>
      </w:r>
      <w:r w:rsidR="00A92D0A">
        <w:instrText xml:space="preserve"> SEQ</w:instrText>
      </w:r>
      <w:r w:rsidR="00A92D0A">
        <w:instrText xml:space="preserve"> Figure \* ARABIC </w:instrText>
      </w:r>
      <w:r w:rsidR="00A92D0A">
        <w:fldChar w:fldCharType="separate"/>
      </w:r>
      <w:r w:rsidR="00E33BD3">
        <w:rPr>
          <w:noProof/>
        </w:rPr>
        <w:t>12</w:t>
      </w:r>
      <w:r w:rsidR="00A92D0A">
        <w:rPr>
          <w:noProof/>
        </w:rPr>
        <w:fldChar w:fldCharType="end"/>
      </w:r>
      <w:bookmarkEnd w:id="18"/>
      <w:r>
        <w:t xml:space="preserve">. </w:t>
      </w:r>
      <w:r w:rsidRPr="00C16F4F">
        <w:t xml:space="preserve">Annual mean nominal </w:t>
      </w:r>
      <w:r w:rsidR="006A0AD4">
        <w:t xml:space="preserve">swordfish </w:t>
      </w:r>
      <w:r w:rsidRPr="00C16F4F">
        <w:t xml:space="preserve">CPUE </w:t>
      </w:r>
      <w:r w:rsidR="006A0AD4">
        <w:t xml:space="preserve">(# swordfish/1000 hooks) </w:t>
      </w:r>
      <w:r w:rsidRPr="00C16F4F">
        <w:t>for the Haw</w:t>
      </w:r>
      <w:r>
        <w:t xml:space="preserve">aii-based longline </w:t>
      </w:r>
      <w:r w:rsidR="00F764D8">
        <w:t>deep-set</w:t>
      </w:r>
      <w:r w:rsidRPr="00C16F4F">
        <w:t xml:space="preserve"> </w:t>
      </w:r>
      <w:r w:rsidR="007355A3">
        <w:t>fishery</w:t>
      </w:r>
      <w:r w:rsidR="007355A3" w:rsidRPr="00C16F4F">
        <w:t xml:space="preserve"> </w:t>
      </w:r>
      <w:r w:rsidRPr="00C16F4F">
        <w:t>in 5</w:t>
      </w:r>
      <w:r w:rsidR="00834F03">
        <w:t xml:space="preserve"> × </w:t>
      </w:r>
      <w:r w:rsidRPr="00C16F4F">
        <w:t>5° squar</w:t>
      </w:r>
      <w:r>
        <w:t xml:space="preserve">es from the Pacific Islands Regional Observer Program </w:t>
      </w:r>
      <w:r w:rsidR="00345600">
        <w:t>data set</w:t>
      </w:r>
      <w:r>
        <w:t xml:space="preserve">. </w:t>
      </w:r>
      <w:r w:rsidRPr="00061043">
        <w:t xml:space="preserve">Squares with fewer than three vessels have been excluded </w:t>
      </w:r>
      <w:r w:rsidR="00507019">
        <w:t xml:space="preserve">from the plot </w:t>
      </w:r>
      <w:r w:rsidRPr="00061043">
        <w:t>for confidentiality.</w:t>
      </w:r>
    </w:p>
    <w:p w14:paraId="0E0986FF" w14:textId="77777777" w:rsidR="00DF1217" w:rsidRDefault="00DF1217" w:rsidP="002D1253">
      <w:pPr>
        <w:keepNext/>
        <w:jc w:val="center"/>
      </w:pPr>
      <w:r>
        <w:rPr>
          <w:noProof/>
        </w:rPr>
        <w:lastRenderedPageBreak/>
        <w:drawing>
          <wp:inline distT="0" distB="0" distL="0" distR="0" wp14:anchorId="62617946" wp14:editId="50765017">
            <wp:extent cx="4657725" cy="3397253"/>
            <wp:effectExtent l="0" t="0" r="0" b="0"/>
            <wp:docPr id="18" name="Picture 18" descr="Total number of hooks set in 5 by 5° squares by the Hawaii-based longline deep set fishery in the Pacific Islands Regional Observer Program dataset. Squares with fewer than three vessels reporting sets are excluded for confidentiality. Figure shows the majority of the fishing effort is around the Hawaiin Is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epTotalHooks.png"/>
                    <pic:cNvPicPr/>
                  </pic:nvPicPr>
                  <pic:blipFill>
                    <a:blip r:embed="rId29">
                      <a:extLst>
                        <a:ext uri="{28A0092B-C50C-407E-A947-70E740481C1C}">
                          <a14:useLocalDpi xmlns:a14="http://schemas.microsoft.com/office/drawing/2010/main" val="0"/>
                        </a:ext>
                      </a:extLst>
                    </a:blip>
                    <a:stretch>
                      <a:fillRect/>
                    </a:stretch>
                  </pic:blipFill>
                  <pic:spPr>
                    <a:xfrm>
                      <a:off x="0" y="0"/>
                      <a:ext cx="4664723" cy="3402357"/>
                    </a:xfrm>
                    <a:prstGeom prst="rect">
                      <a:avLst/>
                    </a:prstGeom>
                  </pic:spPr>
                </pic:pic>
              </a:graphicData>
            </a:graphic>
          </wp:inline>
        </w:drawing>
      </w:r>
    </w:p>
    <w:p w14:paraId="1E8CA959" w14:textId="1634FD9D" w:rsidR="00DF1217" w:rsidRPr="00DF1217" w:rsidRDefault="00DF1217">
      <w:pPr>
        <w:pStyle w:val="Caption"/>
      </w:pPr>
      <w:bookmarkStart w:id="19" w:name="_Ref500421012"/>
      <w:r>
        <w:t xml:space="preserve">Figure </w:t>
      </w:r>
      <w:r w:rsidR="00A92D0A">
        <w:fldChar w:fldCharType="begin"/>
      </w:r>
      <w:r w:rsidR="00A92D0A">
        <w:instrText xml:space="preserve"> SEQ Figure \* ARABIC </w:instrText>
      </w:r>
      <w:r w:rsidR="00A92D0A">
        <w:fldChar w:fldCharType="separate"/>
      </w:r>
      <w:r w:rsidR="00E33BD3">
        <w:rPr>
          <w:noProof/>
        </w:rPr>
        <w:t>13</w:t>
      </w:r>
      <w:r w:rsidR="00A92D0A">
        <w:rPr>
          <w:noProof/>
        </w:rPr>
        <w:fldChar w:fldCharType="end"/>
      </w:r>
      <w:bookmarkEnd w:id="19"/>
      <w:r>
        <w:t xml:space="preserve">. </w:t>
      </w:r>
      <w:r w:rsidRPr="009628BD">
        <w:t xml:space="preserve">Total number of </w:t>
      </w:r>
      <w:r>
        <w:t xml:space="preserve">hooks set </w:t>
      </w:r>
      <w:r w:rsidRPr="009628BD">
        <w:t>in 5</w:t>
      </w:r>
      <w:r w:rsidR="004926CB">
        <w:t xml:space="preserve"> × </w:t>
      </w:r>
      <w:r w:rsidRPr="009628BD">
        <w:t xml:space="preserve">5° squares by the Hawaii-based longline </w:t>
      </w:r>
      <w:r w:rsidR="00F764D8">
        <w:t>deep-set</w:t>
      </w:r>
      <w:r w:rsidRPr="009628BD">
        <w:t xml:space="preserve"> fishery </w:t>
      </w:r>
      <w:r w:rsidR="00370E15">
        <w:t>from 1995</w:t>
      </w:r>
      <w:r w:rsidR="00DC0B5F">
        <w:t xml:space="preserve"> to </w:t>
      </w:r>
      <w:r w:rsidR="00370E15">
        <w:t xml:space="preserve">2016 </w:t>
      </w:r>
      <w:r w:rsidR="00D66D55">
        <w:t>using</w:t>
      </w:r>
      <w:r w:rsidR="00D66D55" w:rsidRPr="009628BD">
        <w:t xml:space="preserve"> </w:t>
      </w:r>
      <w:r w:rsidRPr="009628BD">
        <w:t xml:space="preserve">the Pacific Islands Regional Observer Program </w:t>
      </w:r>
      <w:r w:rsidR="00345600">
        <w:t>data set</w:t>
      </w:r>
      <w:r w:rsidRPr="009628BD">
        <w:t xml:space="preserve">. Squares with fewer than three vessels reporting sets </w:t>
      </w:r>
      <w:r w:rsidR="00327A8E">
        <w:t>were</w:t>
      </w:r>
      <w:r w:rsidRPr="009628BD">
        <w:t xml:space="preserve"> excluded </w:t>
      </w:r>
      <w:r w:rsidR="00507019">
        <w:t xml:space="preserve">from the plot </w:t>
      </w:r>
      <w:r w:rsidRPr="009628BD">
        <w:t>for confidentiality</w:t>
      </w:r>
      <w:r>
        <w:t>.</w:t>
      </w:r>
    </w:p>
    <w:p w14:paraId="15498477" w14:textId="77777777" w:rsidR="005138E7" w:rsidRDefault="005138E7" w:rsidP="002D1253">
      <w:pPr>
        <w:keepNext/>
        <w:jc w:val="center"/>
      </w:pPr>
      <w:r>
        <w:rPr>
          <w:noProof/>
        </w:rPr>
        <w:drawing>
          <wp:inline distT="0" distB="0" distL="0" distR="0" wp14:anchorId="65EB5E24" wp14:editId="1187787A">
            <wp:extent cx="4667250" cy="3404200"/>
            <wp:effectExtent l="0" t="0" r="0" b="6350"/>
            <wp:docPr id="17" name="Picture 17" descr="Total number of sets in 5 by 5° squares by the Hawaii-based longline deep set fishery in the Pacific Islands Regional Observer Program dataset. Squares with fewer than three vessels reporting sets are excluded for confidentiality. Figure shows the majority of the fishing effort is around the Hawaiin Is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epTotalSets.png"/>
                    <pic:cNvPicPr/>
                  </pic:nvPicPr>
                  <pic:blipFill>
                    <a:blip r:embed="rId30">
                      <a:extLst>
                        <a:ext uri="{28A0092B-C50C-407E-A947-70E740481C1C}">
                          <a14:useLocalDpi xmlns:a14="http://schemas.microsoft.com/office/drawing/2010/main" val="0"/>
                        </a:ext>
                      </a:extLst>
                    </a:blip>
                    <a:stretch>
                      <a:fillRect/>
                    </a:stretch>
                  </pic:blipFill>
                  <pic:spPr>
                    <a:xfrm>
                      <a:off x="0" y="0"/>
                      <a:ext cx="4688872" cy="3419971"/>
                    </a:xfrm>
                    <a:prstGeom prst="rect">
                      <a:avLst/>
                    </a:prstGeom>
                  </pic:spPr>
                </pic:pic>
              </a:graphicData>
            </a:graphic>
          </wp:inline>
        </w:drawing>
      </w:r>
    </w:p>
    <w:p w14:paraId="406B877F" w14:textId="11DF3BF7" w:rsidR="005138E7" w:rsidRPr="005138E7" w:rsidRDefault="005138E7">
      <w:pPr>
        <w:pStyle w:val="Caption"/>
      </w:pPr>
      <w:bookmarkStart w:id="20" w:name="_Ref500421019"/>
      <w:r>
        <w:t xml:space="preserve">Figure </w:t>
      </w:r>
      <w:r w:rsidR="00A92D0A">
        <w:fldChar w:fldCharType="begin"/>
      </w:r>
      <w:r w:rsidR="00A92D0A">
        <w:instrText xml:space="preserve"> SEQ Figure \* ARABIC </w:instrText>
      </w:r>
      <w:r w:rsidR="00A92D0A">
        <w:fldChar w:fldCharType="separate"/>
      </w:r>
      <w:r w:rsidR="00E33BD3">
        <w:rPr>
          <w:noProof/>
        </w:rPr>
        <w:t>14</w:t>
      </w:r>
      <w:r w:rsidR="00A92D0A">
        <w:rPr>
          <w:noProof/>
        </w:rPr>
        <w:fldChar w:fldCharType="end"/>
      </w:r>
      <w:bookmarkEnd w:id="20"/>
      <w:r>
        <w:t xml:space="preserve">. </w:t>
      </w:r>
      <w:r w:rsidRPr="00DF56A8">
        <w:t>Total number of sets recorded in 5</w:t>
      </w:r>
      <w:r w:rsidR="00FD17E5">
        <w:t xml:space="preserve"> × </w:t>
      </w:r>
      <w:r w:rsidRPr="00DF56A8">
        <w:t xml:space="preserve">5° squares by the Hawaii-based longline </w:t>
      </w:r>
      <w:r w:rsidR="00F764D8">
        <w:t>deep-set</w:t>
      </w:r>
      <w:r w:rsidRPr="00DF56A8">
        <w:t xml:space="preserve"> fishery </w:t>
      </w:r>
      <w:r w:rsidR="004C116E">
        <w:t>from 1995</w:t>
      </w:r>
      <w:r w:rsidR="00FD17E5">
        <w:t>–</w:t>
      </w:r>
      <w:r w:rsidR="004C116E">
        <w:t xml:space="preserve">2016 </w:t>
      </w:r>
      <w:r w:rsidR="00897244">
        <w:t>using</w:t>
      </w:r>
      <w:r w:rsidRPr="00DF56A8">
        <w:t xml:space="preserve"> the Pacific Islands Regional Observer Program </w:t>
      </w:r>
      <w:r w:rsidR="00345600">
        <w:t>data set</w:t>
      </w:r>
      <w:r w:rsidRPr="00DF56A8">
        <w:t xml:space="preserve">. Squares with fewer than three vessels reporting sets </w:t>
      </w:r>
      <w:r w:rsidR="00327A8E">
        <w:t>were</w:t>
      </w:r>
      <w:r w:rsidRPr="00DF56A8">
        <w:t xml:space="preserve"> excluded </w:t>
      </w:r>
      <w:r w:rsidR="00507019">
        <w:t xml:space="preserve">from the plot </w:t>
      </w:r>
      <w:r w:rsidRPr="00DF56A8">
        <w:t>for confidentiality</w:t>
      </w:r>
      <w:r w:rsidR="00DC0B5F">
        <w:t>.</w:t>
      </w:r>
    </w:p>
    <w:p w14:paraId="7839EACD" w14:textId="77777777" w:rsidR="009E368B" w:rsidRDefault="009E368B" w:rsidP="002D1253">
      <w:pPr>
        <w:keepNext/>
        <w:jc w:val="center"/>
      </w:pPr>
      <w:r>
        <w:rPr>
          <w:noProof/>
        </w:rPr>
        <w:lastRenderedPageBreak/>
        <w:drawing>
          <wp:inline distT="0" distB="0" distL="0" distR="0" wp14:anchorId="15259B4B" wp14:editId="5EC33DD9">
            <wp:extent cx="5114925" cy="3536184"/>
            <wp:effectExtent l="0" t="0" r="0" b="7620"/>
            <wp:docPr id="11" name="Picture 11" descr="The plot of begin set time by year for the deep set fishery shows that the majority of the sets begin between dawn and dusk, with few beginning after 6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epBeginSetTimevsYear.png"/>
                    <pic:cNvPicPr/>
                  </pic:nvPicPr>
                  <pic:blipFill>
                    <a:blip r:embed="rId31">
                      <a:extLst>
                        <a:ext uri="{28A0092B-C50C-407E-A947-70E740481C1C}">
                          <a14:useLocalDpi xmlns:a14="http://schemas.microsoft.com/office/drawing/2010/main" val="0"/>
                        </a:ext>
                      </a:extLst>
                    </a:blip>
                    <a:stretch>
                      <a:fillRect/>
                    </a:stretch>
                  </pic:blipFill>
                  <pic:spPr>
                    <a:xfrm>
                      <a:off x="0" y="0"/>
                      <a:ext cx="5120399" cy="3539969"/>
                    </a:xfrm>
                    <a:prstGeom prst="rect">
                      <a:avLst/>
                    </a:prstGeom>
                  </pic:spPr>
                </pic:pic>
              </a:graphicData>
            </a:graphic>
          </wp:inline>
        </w:drawing>
      </w:r>
    </w:p>
    <w:p w14:paraId="60F1A83E" w14:textId="39E32843" w:rsidR="00177231" w:rsidRDefault="009E368B">
      <w:pPr>
        <w:pStyle w:val="Caption"/>
      </w:pPr>
      <w:bookmarkStart w:id="21" w:name="_Ref500487636"/>
      <w:r>
        <w:t xml:space="preserve">Figure </w:t>
      </w:r>
      <w:r w:rsidR="00A92D0A">
        <w:fldChar w:fldCharType="begin"/>
      </w:r>
      <w:r w:rsidR="00A92D0A">
        <w:instrText xml:space="preserve"> SEQ Figure \* ARABIC </w:instrText>
      </w:r>
      <w:r w:rsidR="00A92D0A">
        <w:fldChar w:fldCharType="separate"/>
      </w:r>
      <w:r w:rsidR="00E33BD3">
        <w:rPr>
          <w:noProof/>
        </w:rPr>
        <w:t>15</w:t>
      </w:r>
      <w:r w:rsidR="00A92D0A">
        <w:rPr>
          <w:noProof/>
        </w:rPr>
        <w:fldChar w:fldCharType="end"/>
      </w:r>
      <w:bookmarkEnd w:id="21"/>
      <w:r>
        <w:t xml:space="preserve">. </w:t>
      </w:r>
      <w:r w:rsidRPr="003A4D4C">
        <w:t xml:space="preserve">Begin set time by year for the Hawaiian longline </w:t>
      </w:r>
      <w:r w:rsidR="00F764D8">
        <w:t>deep-set</w:t>
      </w:r>
      <w:r w:rsidRPr="003A4D4C">
        <w:t xml:space="preserve"> fishery</w:t>
      </w:r>
      <w:r>
        <w:t>.</w:t>
      </w:r>
    </w:p>
    <w:p w14:paraId="31D03069" w14:textId="77777777" w:rsidR="009E368B" w:rsidRDefault="009E368B" w:rsidP="002D1253">
      <w:pPr>
        <w:keepNext/>
        <w:jc w:val="center"/>
      </w:pPr>
      <w:r>
        <w:rPr>
          <w:noProof/>
        </w:rPr>
        <w:drawing>
          <wp:inline distT="0" distB="0" distL="0" distR="0" wp14:anchorId="0328911E" wp14:editId="4653D2DC">
            <wp:extent cx="5600700" cy="3389741"/>
            <wp:effectExtent l="0" t="0" r="0" b="1270"/>
            <wp:docPr id="12" name="Picture 12" descr="The plots of CPUE by year, quarter, hooks per float, and bait type all show very low CPUE for all variable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epNomCPU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17696" cy="3400027"/>
                    </a:xfrm>
                    <a:prstGeom prst="rect">
                      <a:avLst/>
                    </a:prstGeom>
                  </pic:spPr>
                </pic:pic>
              </a:graphicData>
            </a:graphic>
          </wp:inline>
        </w:drawing>
      </w:r>
    </w:p>
    <w:p w14:paraId="1ADDF67A" w14:textId="56EB6038" w:rsidR="009E368B" w:rsidRDefault="009E368B">
      <w:pPr>
        <w:pStyle w:val="Caption"/>
      </w:pPr>
      <w:bookmarkStart w:id="22" w:name="_Ref500487707"/>
      <w:r>
        <w:t xml:space="preserve">Figure </w:t>
      </w:r>
      <w:r w:rsidR="00A92D0A">
        <w:fldChar w:fldCharType="begin"/>
      </w:r>
      <w:r w:rsidR="00A92D0A">
        <w:instrText xml:space="preserve"> SEQ Figure \* ARABIC </w:instrText>
      </w:r>
      <w:r w:rsidR="00A92D0A">
        <w:fldChar w:fldCharType="separate"/>
      </w:r>
      <w:r w:rsidR="00E33BD3">
        <w:rPr>
          <w:noProof/>
        </w:rPr>
        <w:t>16</w:t>
      </w:r>
      <w:r w:rsidR="00A92D0A">
        <w:rPr>
          <w:noProof/>
        </w:rPr>
        <w:fldChar w:fldCharType="end"/>
      </w:r>
      <w:bookmarkEnd w:id="22"/>
      <w:r>
        <w:t xml:space="preserve">. </w:t>
      </w:r>
      <w:r w:rsidRPr="00EB1002">
        <w:t xml:space="preserve">Boxplots of </w:t>
      </w:r>
      <w:r w:rsidR="00027A3B">
        <w:t>n</w:t>
      </w:r>
      <w:r w:rsidRPr="00EB1002">
        <w:t xml:space="preserve">ominal </w:t>
      </w:r>
      <w:r w:rsidR="00027A3B">
        <w:t xml:space="preserve">swordfish </w:t>
      </w:r>
      <w:r w:rsidRPr="00EB1002">
        <w:t xml:space="preserve">CPUE </w:t>
      </w:r>
      <w:r w:rsidR="00027A3B">
        <w:t xml:space="preserve">(# swordfish/1000 hooks) </w:t>
      </w:r>
      <w:r w:rsidRPr="00EB1002">
        <w:t xml:space="preserve">by year (top left), quarter (top right), hooks per float (bottom left), and bait type (bottom right) for the Hawaii-based longline </w:t>
      </w:r>
      <w:r w:rsidR="00F764D8">
        <w:t>deep-set</w:t>
      </w:r>
      <w:r w:rsidRPr="00EB1002">
        <w:t xml:space="preserve"> fishery.</w:t>
      </w:r>
    </w:p>
    <w:p w14:paraId="504560FD" w14:textId="77777777" w:rsidR="009E368B" w:rsidRDefault="009E368B" w:rsidP="002D1253">
      <w:pPr>
        <w:keepNext/>
        <w:jc w:val="center"/>
      </w:pPr>
      <w:r>
        <w:rPr>
          <w:noProof/>
        </w:rPr>
        <w:lastRenderedPageBreak/>
        <w:drawing>
          <wp:inline distT="0" distB="0" distL="0" distR="0" wp14:anchorId="18CD2D26" wp14:editId="1249D284">
            <wp:extent cx="5573239" cy="3373120"/>
            <wp:effectExtent l="0" t="0" r="8890" b="0"/>
            <wp:docPr id="13" name="Picture 13" descr="The boxplots of CPUE by latitude and longitude show a slight increase CPUE at mid-latitudes and longitudes. The plot of CPUE versus hooks per set show a decrease in CPUE with an increase in hooks per set. There is little trend in the plot of CPUE versus lunar illu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epNomCPUE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580783" cy="3377686"/>
                    </a:xfrm>
                    <a:prstGeom prst="rect">
                      <a:avLst/>
                    </a:prstGeom>
                  </pic:spPr>
                </pic:pic>
              </a:graphicData>
            </a:graphic>
          </wp:inline>
        </w:drawing>
      </w:r>
    </w:p>
    <w:p w14:paraId="10A6AC5F" w14:textId="4073C2CE" w:rsidR="009E368B" w:rsidRDefault="009E368B">
      <w:pPr>
        <w:pStyle w:val="Caption"/>
      </w:pPr>
      <w:bookmarkStart w:id="23" w:name="_Ref500487709"/>
      <w:r>
        <w:t xml:space="preserve">Figure </w:t>
      </w:r>
      <w:r w:rsidR="00A92D0A">
        <w:fldChar w:fldCharType="begin"/>
      </w:r>
      <w:r w:rsidR="00A92D0A">
        <w:instrText xml:space="preserve"> SEQ Figure \* ARABIC </w:instrText>
      </w:r>
      <w:r w:rsidR="00A92D0A">
        <w:fldChar w:fldCharType="separate"/>
      </w:r>
      <w:r w:rsidR="00E33BD3">
        <w:rPr>
          <w:noProof/>
        </w:rPr>
        <w:t>17</w:t>
      </w:r>
      <w:r w:rsidR="00A92D0A">
        <w:rPr>
          <w:noProof/>
        </w:rPr>
        <w:fldChar w:fldCharType="end"/>
      </w:r>
      <w:bookmarkEnd w:id="23"/>
      <w:r>
        <w:t xml:space="preserve">. </w:t>
      </w:r>
      <w:r w:rsidRPr="00254F8A">
        <w:t xml:space="preserve">Boxplots of </w:t>
      </w:r>
      <w:r w:rsidR="00023940">
        <w:t>n</w:t>
      </w:r>
      <w:r w:rsidRPr="00254F8A">
        <w:t>ominal</w:t>
      </w:r>
      <w:r w:rsidR="00023940">
        <w:t xml:space="preserve"> swordfish</w:t>
      </w:r>
      <w:r w:rsidRPr="00254F8A">
        <w:t xml:space="preserve"> CPUE </w:t>
      </w:r>
      <w:r w:rsidR="00023940">
        <w:t xml:space="preserve">(# swordfish/1000 hooks) </w:t>
      </w:r>
      <w:r w:rsidRPr="00254F8A">
        <w:t xml:space="preserve">by longitude (top left) and latitude (top right). Plots of CPUE vs hooks per set (bottom left) and lunar illumination (bottom right) for the Hawaii-based longline </w:t>
      </w:r>
      <w:r w:rsidR="00F764D8">
        <w:t>deep-set</w:t>
      </w:r>
      <w:r w:rsidRPr="00254F8A">
        <w:t xml:space="preserve"> fishery.</w:t>
      </w:r>
    </w:p>
    <w:p w14:paraId="652F5F8C" w14:textId="77777777" w:rsidR="002016EC" w:rsidRDefault="002016EC" w:rsidP="002D1253">
      <w:pPr>
        <w:keepNext/>
        <w:jc w:val="center"/>
      </w:pPr>
      <w:r>
        <w:rPr>
          <w:noProof/>
        </w:rPr>
        <w:drawing>
          <wp:inline distT="0" distB="0" distL="0" distR="0" wp14:anchorId="351DBEE9" wp14:editId="5131C9E2">
            <wp:extent cx="5943600" cy="3571240"/>
            <wp:effectExtent l="0" t="0" r="0" b="0"/>
            <wp:docPr id="14" name="Picture 14" descr="The plot of CPUE versus mixed layer depth shows a slight increase in CPUE at shallow mixed layer depths. The plot of CPUE versus sea surface termperature shows a slight increase in CPUE with increased temperature. The plots of CPUE versus the Pacific Decadal Oscillation Index and the Southern Oscillation Index show no notable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epNomCPUE3.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571240"/>
                    </a:xfrm>
                    <a:prstGeom prst="rect">
                      <a:avLst/>
                    </a:prstGeom>
                  </pic:spPr>
                </pic:pic>
              </a:graphicData>
            </a:graphic>
          </wp:inline>
        </w:drawing>
      </w:r>
    </w:p>
    <w:p w14:paraId="6571700C" w14:textId="4353EC9A" w:rsidR="002016EC" w:rsidRDefault="002016EC">
      <w:pPr>
        <w:pStyle w:val="Caption"/>
      </w:pPr>
      <w:bookmarkStart w:id="24" w:name="_Ref500487710"/>
      <w:r>
        <w:t xml:space="preserve">Figure </w:t>
      </w:r>
      <w:r w:rsidR="00A92D0A">
        <w:fldChar w:fldCharType="begin"/>
      </w:r>
      <w:r w:rsidR="00A92D0A">
        <w:instrText xml:space="preserve"> SEQ Figure \* ARABIC </w:instrText>
      </w:r>
      <w:r w:rsidR="00A92D0A">
        <w:fldChar w:fldCharType="separate"/>
      </w:r>
      <w:r w:rsidR="00E33BD3">
        <w:rPr>
          <w:noProof/>
        </w:rPr>
        <w:t>18</w:t>
      </w:r>
      <w:r w:rsidR="00A92D0A">
        <w:rPr>
          <w:noProof/>
        </w:rPr>
        <w:fldChar w:fldCharType="end"/>
      </w:r>
      <w:bookmarkEnd w:id="24"/>
      <w:r>
        <w:t xml:space="preserve">. </w:t>
      </w:r>
      <w:r w:rsidRPr="00FE3027">
        <w:t xml:space="preserve">Plots of </w:t>
      </w:r>
      <w:r w:rsidR="00023940">
        <w:t>n</w:t>
      </w:r>
      <w:r w:rsidRPr="00FE3027">
        <w:t>ominal</w:t>
      </w:r>
      <w:r w:rsidR="00023940">
        <w:t xml:space="preserve"> swordfish</w:t>
      </w:r>
      <w:r w:rsidRPr="00FE3027">
        <w:t xml:space="preserve"> CPUE</w:t>
      </w:r>
      <w:r w:rsidR="00023940">
        <w:t xml:space="preserve"> (# swordfish/1000 hooks)</w:t>
      </w:r>
      <w:r w:rsidRPr="00FE3027">
        <w:t xml:space="preserve"> by the mixed layer depth (top left), sea surface temperature (top right), and the Pacific Decadal Oscillation index (bottom left) and a boxplot of CPUE </w:t>
      </w:r>
      <w:r w:rsidR="007D792E">
        <w:t>vs.</w:t>
      </w:r>
      <w:r w:rsidR="007D792E" w:rsidRPr="00FE3027">
        <w:t xml:space="preserve"> </w:t>
      </w:r>
      <w:r w:rsidRPr="00FE3027">
        <w:t>the Southern Oscillation Index (bottom right) for the Hawaii-based long</w:t>
      </w:r>
      <w:r>
        <w:t xml:space="preserve">line </w:t>
      </w:r>
      <w:r w:rsidR="00F764D8">
        <w:t>deep-set</w:t>
      </w:r>
      <w:r>
        <w:t xml:space="preserve"> fishery.</w:t>
      </w:r>
    </w:p>
    <w:p w14:paraId="4BE475AB" w14:textId="77777777" w:rsidR="00BE0BAD" w:rsidRDefault="00BE0BAD" w:rsidP="00BE0BAD">
      <w:pPr>
        <w:keepNext/>
      </w:pPr>
      <w:r>
        <w:rPr>
          <w:noProof/>
        </w:rPr>
        <w:lastRenderedPageBreak/>
        <w:drawing>
          <wp:inline distT="0" distB="0" distL="0" distR="0" wp14:anchorId="7E1AC9C0" wp14:editId="64BAC51B">
            <wp:extent cx="5819775" cy="4589533"/>
            <wp:effectExtent l="0" t="0" r="0" b="1905"/>
            <wp:docPr id="19" name="Picture 19" descr="Nominal and standardized CPUE for the early and late periods from the Hawaii-based longline shallow set fishery Pacific Islands Regional Observer Program dataset. Dashed lines indicate 95% confidence intervals around the standardized CPUEs. Standardized CPUEs are lower than nominal CPUEs but have a similar, but dampend trend. CPUEs increase throughout the early period. CPUEs start high in the late period, decrease through 2010 and increase again to 2016. Confidence Intervals are much larger around the early period CP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halStandCPUE.png"/>
                    <pic:cNvPicPr/>
                  </pic:nvPicPr>
                  <pic:blipFill>
                    <a:blip r:embed="rId35">
                      <a:extLst>
                        <a:ext uri="{28A0092B-C50C-407E-A947-70E740481C1C}">
                          <a14:useLocalDpi xmlns:a14="http://schemas.microsoft.com/office/drawing/2010/main" val="0"/>
                        </a:ext>
                      </a:extLst>
                    </a:blip>
                    <a:stretch>
                      <a:fillRect/>
                    </a:stretch>
                  </pic:blipFill>
                  <pic:spPr>
                    <a:xfrm>
                      <a:off x="0" y="0"/>
                      <a:ext cx="5827983" cy="4596006"/>
                    </a:xfrm>
                    <a:prstGeom prst="rect">
                      <a:avLst/>
                    </a:prstGeom>
                  </pic:spPr>
                </pic:pic>
              </a:graphicData>
            </a:graphic>
          </wp:inline>
        </w:drawing>
      </w:r>
    </w:p>
    <w:p w14:paraId="1682FDE3" w14:textId="3249F869" w:rsidR="004E27FF" w:rsidRDefault="00BE0BAD">
      <w:pPr>
        <w:pStyle w:val="Caption"/>
        <w:rPr>
          <w:noProof/>
        </w:rPr>
      </w:pPr>
      <w:bookmarkStart w:id="25" w:name="_Ref500489646"/>
      <w:r>
        <w:t xml:space="preserve">Figure </w:t>
      </w:r>
      <w:r w:rsidR="00A92D0A">
        <w:fldChar w:fldCharType="begin"/>
      </w:r>
      <w:r w:rsidR="00A92D0A">
        <w:instrText xml:space="preserve"> SEQ Figure \* ARABIC </w:instrText>
      </w:r>
      <w:r w:rsidR="00A92D0A">
        <w:fldChar w:fldCharType="separate"/>
      </w:r>
      <w:r w:rsidR="00E33BD3">
        <w:rPr>
          <w:noProof/>
        </w:rPr>
        <w:t>19</w:t>
      </w:r>
      <w:r w:rsidR="00A92D0A">
        <w:rPr>
          <w:noProof/>
        </w:rPr>
        <w:fldChar w:fldCharType="end"/>
      </w:r>
      <w:bookmarkEnd w:id="25"/>
      <w:r>
        <w:t xml:space="preserve">. Nominal (red circles) and standardized </w:t>
      </w:r>
      <w:r w:rsidR="0034680D">
        <w:t xml:space="preserve">swordfish </w:t>
      </w:r>
      <w:r>
        <w:t>CPUE</w:t>
      </w:r>
      <w:r w:rsidR="0034680D">
        <w:t xml:space="preserve"> (# swordfish/1000 hooks)</w:t>
      </w:r>
      <w:r>
        <w:t xml:space="preserve"> for the early (blue triangles) and late (green diamonds</w:t>
      </w:r>
      <w:r>
        <w:rPr>
          <w:noProof/>
        </w:rPr>
        <w:t xml:space="preserve">) </w:t>
      </w:r>
      <w:r w:rsidR="00EB369F">
        <w:rPr>
          <w:noProof/>
        </w:rPr>
        <w:t xml:space="preserve">time series </w:t>
      </w:r>
      <w:r>
        <w:rPr>
          <w:noProof/>
        </w:rPr>
        <w:t xml:space="preserve">from the Hawaii-based longline </w:t>
      </w:r>
      <w:r w:rsidR="000D0A0F">
        <w:rPr>
          <w:noProof/>
        </w:rPr>
        <w:t>shallow-set</w:t>
      </w:r>
      <w:r>
        <w:rPr>
          <w:noProof/>
        </w:rPr>
        <w:t xml:space="preserve"> fishery Pacific Islands Regional Observer Program </w:t>
      </w:r>
      <w:r w:rsidR="00345600">
        <w:rPr>
          <w:noProof/>
        </w:rPr>
        <w:t>data set</w:t>
      </w:r>
      <w:r>
        <w:rPr>
          <w:noProof/>
        </w:rPr>
        <w:t xml:space="preserve">. Dashed lines indicate 95% confidence intervals around the standardized </w:t>
      </w:r>
      <w:r w:rsidR="00DA3101">
        <w:rPr>
          <w:noProof/>
        </w:rPr>
        <w:t>CPUE values</w:t>
      </w:r>
      <w:r>
        <w:rPr>
          <w:noProof/>
        </w:rPr>
        <w:t>.</w:t>
      </w:r>
    </w:p>
    <w:p w14:paraId="3A529BFF" w14:textId="77777777" w:rsidR="001144FD" w:rsidRDefault="001144FD" w:rsidP="001144FD">
      <w:pPr>
        <w:keepNext/>
      </w:pPr>
      <w:r>
        <w:rPr>
          <w:noProof/>
        </w:rPr>
        <w:drawing>
          <wp:inline distT="0" distB="0" distL="0" distR="0" wp14:anchorId="6C288E79" wp14:editId="6AEEA6D9">
            <wp:extent cx="2771775" cy="2013243"/>
            <wp:effectExtent l="0" t="0" r="0" b="6350"/>
            <wp:docPr id="22" name="Picture 22" descr="Scatterplot of Pearson residuals from the Hawaiian longline shallow set early period (1995-2000). Figures shows no noteworthy residual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alPosEarlyResids.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801684" cy="2034967"/>
                    </a:xfrm>
                    <a:prstGeom prst="rect">
                      <a:avLst/>
                    </a:prstGeom>
                  </pic:spPr>
                </pic:pic>
              </a:graphicData>
            </a:graphic>
          </wp:inline>
        </w:drawing>
      </w:r>
      <w:r>
        <w:t xml:space="preserve"> </w:t>
      </w:r>
      <w:r>
        <w:rPr>
          <w:noProof/>
        </w:rPr>
        <w:drawing>
          <wp:inline distT="0" distB="0" distL="0" distR="0" wp14:anchorId="6083CC70" wp14:editId="3B46DD66">
            <wp:extent cx="2876550" cy="1944438"/>
            <wp:effectExtent l="0" t="0" r="0" b="0"/>
            <wp:docPr id="20" name="Picture 20" descr="Histogram of Pearson residuals from the Hawaiian longline shallow set early period (1995-2000). Histogram looks approximately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halPosEarlyPearsonResid.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892282" cy="1955072"/>
                    </a:xfrm>
                    <a:prstGeom prst="rect">
                      <a:avLst/>
                    </a:prstGeom>
                  </pic:spPr>
                </pic:pic>
              </a:graphicData>
            </a:graphic>
          </wp:inline>
        </w:drawing>
      </w:r>
      <w:r>
        <w:rPr>
          <w:noProof/>
        </w:rPr>
        <w:drawing>
          <wp:inline distT="0" distB="0" distL="0" distR="0" wp14:anchorId="28A85D6F" wp14:editId="5E153AD2">
            <wp:extent cx="2771775" cy="1931003"/>
            <wp:effectExtent l="0" t="0" r="0" b="0"/>
            <wp:docPr id="21" name="Picture 21" descr="Normal QQ plot from the Hawaiian longline shallow set early period (1995-2000). The plot has no detectable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alPosEarlyQQ.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797435" cy="1948880"/>
                    </a:xfrm>
                    <a:prstGeom prst="rect">
                      <a:avLst/>
                    </a:prstGeom>
                  </pic:spPr>
                </pic:pic>
              </a:graphicData>
            </a:graphic>
          </wp:inline>
        </w:drawing>
      </w:r>
    </w:p>
    <w:p w14:paraId="0E3757C3" w14:textId="4E860044" w:rsidR="001144FD" w:rsidRDefault="001144FD">
      <w:pPr>
        <w:pStyle w:val="Caption"/>
        <w:rPr>
          <w:noProof/>
        </w:rPr>
      </w:pPr>
      <w:bookmarkStart w:id="26" w:name="_Ref500489850"/>
      <w:r>
        <w:t xml:space="preserve">Figure </w:t>
      </w:r>
      <w:r w:rsidR="00A92D0A">
        <w:fldChar w:fldCharType="begin"/>
      </w:r>
      <w:r w:rsidR="00A92D0A">
        <w:instrText xml:space="preserve"> SEQ Figure \* ARABIC </w:instrText>
      </w:r>
      <w:r w:rsidR="00A92D0A">
        <w:fldChar w:fldCharType="separate"/>
      </w:r>
      <w:r w:rsidR="00E33BD3">
        <w:rPr>
          <w:noProof/>
        </w:rPr>
        <w:t>20</w:t>
      </w:r>
      <w:r w:rsidR="00A92D0A">
        <w:rPr>
          <w:noProof/>
        </w:rPr>
        <w:fldChar w:fldCharType="end"/>
      </w:r>
      <w:bookmarkEnd w:id="26"/>
      <w:r>
        <w:t xml:space="preserve">. Diagnostic plots from the </w:t>
      </w:r>
      <w:r w:rsidR="00C2166A">
        <w:t xml:space="preserve">lognormal model of the positive </w:t>
      </w:r>
      <w:r w:rsidR="009D18F3">
        <w:t xml:space="preserve">swordfish </w:t>
      </w:r>
      <w:r w:rsidR="00C2166A">
        <w:t xml:space="preserve">catches in the </w:t>
      </w:r>
      <w:r>
        <w:t xml:space="preserve">Hawaii-based longline </w:t>
      </w:r>
      <w:r w:rsidR="000D0A0F">
        <w:t>shallow-set</w:t>
      </w:r>
      <w:r>
        <w:t xml:space="preserve"> fishery in the early period (1995</w:t>
      </w:r>
      <w:r w:rsidR="00F87FDD">
        <w:t>–</w:t>
      </w:r>
      <w:r>
        <w:t>2000): A scatterplot</w:t>
      </w:r>
      <w:r w:rsidR="009D18F3">
        <w:t xml:space="preserve"> of</w:t>
      </w:r>
      <w:r>
        <w:t xml:space="preserve"> Pearson residuals (Upper left), a histogram of Pearson Residuals (top right) and a Q</w:t>
      </w:r>
      <w:r w:rsidR="009D18F3">
        <w:t>-</w:t>
      </w:r>
      <w:r>
        <w:t xml:space="preserve">Q </w:t>
      </w:r>
      <w:r>
        <w:rPr>
          <w:noProof/>
        </w:rPr>
        <w:t>plot (bottom left).</w:t>
      </w:r>
    </w:p>
    <w:p w14:paraId="7C2E8A4F" w14:textId="77777777" w:rsidR="00C2166A" w:rsidRDefault="00C2166A" w:rsidP="00C2166A">
      <w:pPr>
        <w:keepNext/>
      </w:pPr>
      <w:r>
        <w:rPr>
          <w:noProof/>
        </w:rPr>
        <w:lastRenderedPageBreak/>
        <w:drawing>
          <wp:inline distT="0" distB="0" distL="0" distR="0" wp14:anchorId="6F7E7FC6" wp14:editId="393EC308">
            <wp:extent cx="2811294" cy="2103666"/>
            <wp:effectExtent l="0" t="0" r="8255" b="0"/>
            <wp:docPr id="37" name="Picture 37" descr="Diagnostic plots from the binomial model of the proportion positive catches in the Hawaii-based longline shallow set fishery in the early period (1995-2000): A scatterplot of Quantile residuals. Residuals show no signifcan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halPropPosResid.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854085" cy="2135686"/>
                    </a:xfrm>
                    <a:prstGeom prst="rect">
                      <a:avLst/>
                    </a:prstGeom>
                  </pic:spPr>
                </pic:pic>
              </a:graphicData>
            </a:graphic>
          </wp:inline>
        </w:drawing>
      </w:r>
      <w:r>
        <w:rPr>
          <w:noProof/>
        </w:rPr>
        <w:drawing>
          <wp:inline distT="0" distB="0" distL="0" distR="0" wp14:anchorId="7D1B2983" wp14:editId="4DCFAAD7">
            <wp:extent cx="2947481" cy="2205572"/>
            <wp:effectExtent l="0" t="0" r="5715" b="4445"/>
            <wp:docPr id="38" name="Picture 38" descr="Diagnostic plots from the binomial model of the proportion positive catches in the Hawaii-based longline shallow set fishery in the early period (1995-2000):  a histogram of Quantile Residuals. Histogram looks approximately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halPropPosResidHist.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983823" cy="2232767"/>
                    </a:xfrm>
                    <a:prstGeom prst="rect">
                      <a:avLst/>
                    </a:prstGeom>
                  </pic:spPr>
                </pic:pic>
              </a:graphicData>
            </a:graphic>
          </wp:inline>
        </w:drawing>
      </w:r>
    </w:p>
    <w:p w14:paraId="207CFAED" w14:textId="766B430C" w:rsidR="00C2166A" w:rsidRPr="00C2166A" w:rsidRDefault="00C2166A">
      <w:pPr>
        <w:pStyle w:val="Caption"/>
      </w:pPr>
      <w:bookmarkStart w:id="27" w:name="_Ref500921717"/>
      <w:r>
        <w:t xml:space="preserve">Figure </w:t>
      </w:r>
      <w:r w:rsidR="00A92D0A">
        <w:fldChar w:fldCharType="begin"/>
      </w:r>
      <w:r w:rsidR="00A92D0A">
        <w:instrText xml:space="preserve"> SEQ Figure \* ARABIC </w:instrText>
      </w:r>
      <w:r w:rsidR="00A92D0A">
        <w:fldChar w:fldCharType="separate"/>
      </w:r>
      <w:r w:rsidR="00E33BD3">
        <w:rPr>
          <w:noProof/>
        </w:rPr>
        <w:t>21</w:t>
      </w:r>
      <w:r w:rsidR="00A92D0A">
        <w:rPr>
          <w:noProof/>
        </w:rPr>
        <w:fldChar w:fldCharType="end"/>
      </w:r>
      <w:bookmarkEnd w:id="27"/>
      <w:r>
        <w:t xml:space="preserve">. Diagnostic plots from the binomial model of the proportion positive </w:t>
      </w:r>
      <w:r w:rsidR="009D18F3">
        <w:t xml:space="preserve">swordfish </w:t>
      </w:r>
      <w:r>
        <w:t xml:space="preserve">catches in the Hawaii-based longline </w:t>
      </w:r>
      <w:r w:rsidR="000D0A0F">
        <w:t>shallow-set</w:t>
      </w:r>
      <w:r>
        <w:t xml:space="preserve"> fishery in the early period (1995</w:t>
      </w:r>
      <w:r w:rsidR="00F87FDD">
        <w:t>–</w:t>
      </w:r>
      <w:r>
        <w:t>2000): A scatterplot of Quantile residuals (left), a histogram of Quantile Residuals (right)</w:t>
      </w:r>
    </w:p>
    <w:p w14:paraId="75B3243F" w14:textId="77777777" w:rsidR="001144FD" w:rsidRDefault="001144FD" w:rsidP="001144FD">
      <w:pPr>
        <w:keepNext/>
      </w:pPr>
      <w:r>
        <w:rPr>
          <w:noProof/>
        </w:rPr>
        <w:drawing>
          <wp:inline distT="0" distB="0" distL="0" distR="0" wp14:anchorId="298A2DD7" wp14:editId="350D63FA">
            <wp:extent cx="2667560" cy="2314575"/>
            <wp:effectExtent l="0" t="0" r="0" b="0"/>
            <wp:docPr id="25" name="Picture 25" descr="Scatterplot of Pearson residuals from the Hawaiian longline shallow set late period (2005-2016). Figures shows no noteworthy residual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halPosLateResid.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690244" cy="2334257"/>
                    </a:xfrm>
                    <a:prstGeom prst="rect">
                      <a:avLst/>
                    </a:prstGeom>
                  </pic:spPr>
                </pic:pic>
              </a:graphicData>
            </a:graphic>
          </wp:inline>
        </w:drawing>
      </w:r>
      <w:r>
        <w:rPr>
          <w:noProof/>
        </w:rPr>
        <w:drawing>
          <wp:inline distT="0" distB="0" distL="0" distR="0" wp14:anchorId="5DC1439D" wp14:editId="5A4BB70C">
            <wp:extent cx="2946755" cy="2181225"/>
            <wp:effectExtent l="0" t="0" r="6350" b="0"/>
            <wp:docPr id="23" name="Picture 23" descr="Histogram of Pearson residuals from the Hawaiian longline shallow set early period (1995-2000). Histogram looks slightly skewed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alPosLatePearsonResid.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971391" cy="2199461"/>
                    </a:xfrm>
                    <a:prstGeom prst="rect">
                      <a:avLst/>
                    </a:prstGeom>
                  </pic:spPr>
                </pic:pic>
              </a:graphicData>
            </a:graphic>
          </wp:inline>
        </w:drawing>
      </w:r>
      <w:r>
        <w:rPr>
          <w:noProof/>
        </w:rPr>
        <w:drawing>
          <wp:inline distT="0" distB="0" distL="0" distR="0" wp14:anchorId="25BA3F79" wp14:editId="7521BEF3">
            <wp:extent cx="2721553" cy="2162175"/>
            <wp:effectExtent l="0" t="0" r="3175" b="0"/>
            <wp:docPr id="24" name="Picture 24" descr="Normal QQ plot from the Hawaiian longline shallow set early period (1995-2000). The line is slightly bowed at the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halPosLateQQ.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736088" cy="2173723"/>
                    </a:xfrm>
                    <a:prstGeom prst="rect">
                      <a:avLst/>
                    </a:prstGeom>
                  </pic:spPr>
                </pic:pic>
              </a:graphicData>
            </a:graphic>
          </wp:inline>
        </w:drawing>
      </w:r>
    </w:p>
    <w:p w14:paraId="74827008" w14:textId="4A61F282" w:rsidR="001144FD" w:rsidRDefault="001144FD">
      <w:pPr>
        <w:pStyle w:val="Caption"/>
        <w:rPr>
          <w:noProof/>
        </w:rPr>
      </w:pPr>
      <w:bookmarkStart w:id="28" w:name="_Ref500489924"/>
      <w:r>
        <w:t xml:space="preserve">Figure </w:t>
      </w:r>
      <w:r w:rsidR="00A92D0A">
        <w:fldChar w:fldCharType="begin"/>
      </w:r>
      <w:r w:rsidR="00A92D0A">
        <w:instrText xml:space="preserve"> SEQ Figure \* ARABIC </w:instrText>
      </w:r>
      <w:r w:rsidR="00A92D0A">
        <w:fldChar w:fldCharType="separate"/>
      </w:r>
      <w:r w:rsidR="00E33BD3">
        <w:rPr>
          <w:noProof/>
        </w:rPr>
        <w:t>22</w:t>
      </w:r>
      <w:r w:rsidR="00A92D0A">
        <w:rPr>
          <w:noProof/>
        </w:rPr>
        <w:fldChar w:fldCharType="end"/>
      </w:r>
      <w:bookmarkEnd w:id="28"/>
      <w:r>
        <w:t>.</w:t>
      </w:r>
      <w:r w:rsidRPr="001144FD">
        <w:t xml:space="preserve"> </w:t>
      </w:r>
      <w:r>
        <w:t xml:space="preserve">Diagnostic plots from the </w:t>
      </w:r>
      <w:r w:rsidR="009D18F3">
        <w:t xml:space="preserve">lognormal model of the positive swordfish catches of the </w:t>
      </w:r>
      <w:r>
        <w:t xml:space="preserve">Hawaii-based longline </w:t>
      </w:r>
      <w:r w:rsidR="000D0A0F">
        <w:t>shallow-set</w:t>
      </w:r>
      <w:r>
        <w:t xml:space="preserve"> fishery in the </w:t>
      </w:r>
      <w:r w:rsidR="00302F5B">
        <w:t xml:space="preserve">late </w:t>
      </w:r>
      <w:r>
        <w:t>period (</w:t>
      </w:r>
      <w:r w:rsidR="00302F5B">
        <w:t>200</w:t>
      </w:r>
      <w:r>
        <w:t>5</w:t>
      </w:r>
      <w:r w:rsidR="00F87FDD">
        <w:t>–</w:t>
      </w:r>
      <w:r>
        <w:t>20</w:t>
      </w:r>
      <w:r w:rsidR="00302F5B">
        <w:t>16</w:t>
      </w:r>
      <w:r>
        <w:t xml:space="preserve">): A scatterplot </w:t>
      </w:r>
      <w:r w:rsidR="009D18F3">
        <w:t xml:space="preserve">of </w:t>
      </w:r>
      <w:r>
        <w:t>Pearson residuals (Upper left), a histogram of Pearson Residuals (top right) and a Q</w:t>
      </w:r>
      <w:r w:rsidR="009D18F3">
        <w:t>-</w:t>
      </w:r>
      <w:r>
        <w:t xml:space="preserve">Q </w:t>
      </w:r>
      <w:r>
        <w:rPr>
          <w:noProof/>
        </w:rPr>
        <w:t>plot (bottom left).</w:t>
      </w:r>
    </w:p>
    <w:p w14:paraId="4B10D984" w14:textId="77777777" w:rsidR="009709B8" w:rsidRDefault="00B32B3A" w:rsidP="009709B8">
      <w:pPr>
        <w:keepNext/>
      </w:pPr>
      <w:r>
        <w:rPr>
          <w:noProof/>
        </w:rPr>
        <w:lastRenderedPageBreak/>
        <w:drawing>
          <wp:inline distT="0" distB="0" distL="0" distR="0" wp14:anchorId="2AA760BF" wp14:editId="02306366">
            <wp:extent cx="5736313" cy="3938870"/>
            <wp:effectExtent l="0" t="0" r="0" b="5080"/>
            <wp:docPr id="26" name="Picture 26" descr="Nominal and standardized  swordfish CPUE (#swordfish/1000 hooks) from the Hawaii-based longline deep-set fishery Pacific Islands Regional Observer Program data 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epCPUEwCI.png"/>
                    <pic:cNvPicPr/>
                  </pic:nvPicPr>
                  <pic:blipFill>
                    <a:blip r:embed="rId44">
                      <a:extLst>
                        <a:ext uri="{28A0092B-C50C-407E-A947-70E740481C1C}">
                          <a14:useLocalDpi xmlns:a14="http://schemas.microsoft.com/office/drawing/2010/main" val="0"/>
                        </a:ext>
                      </a:extLst>
                    </a:blip>
                    <a:stretch>
                      <a:fillRect/>
                    </a:stretch>
                  </pic:blipFill>
                  <pic:spPr>
                    <a:xfrm>
                      <a:off x="0" y="0"/>
                      <a:ext cx="5736313" cy="3938870"/>
                    </a:xfrm>
                    <a:prstGeom prst="rect">
                      <a:avLst/>
                    </a:prstGeom>
                  </pic:spPr>
                </pic:pic>
              </a:graphicData>
            </a:graphic>
          </wp:inline>
        </w:drawing>
      </w:r>
    </w:p>
    <w:p w14:paraId="60758B78" w14:textId="08A3CDD7" w:rsidR="00074796" w:rsidRDefault="009709B8">
      <w:pPr>
        <w:pStyle w:val="Caption"/>
        <w:rPr>
          <w:noProof/>
        </w:rPr>
      </w:pPr>
      <w:bookmarkStart w:id="29" w:name="_Ref500490022"/>
      <w:r>
        <w:t xml:space="preserve">Figure </w:t>
      </w:r>
      <w:r w:rsidR="00A92D0A">
        <w:fldChar w:fldCharType="begin"/>
      </w:r>
      <w:r w:rsidR="00A92D0A">
        <w:instrText xml:space="preserve"> SEQ Figure \* ARABIC </w:instrText>
      </w:r>
      <w:r w:rsidR="00A92D0A">
        <w:fldChar w:fldCharType="separate"/>
      </w:r>
      <w:r w:rsidR="00E33BD3">
        <w:rPr>
          <w:noProof/>
        </w:rPr>
        <w:t>23</w:t>
      </w:r>
      <w:r w:rsidR="00A92D0A">
        <w:rPr>
          <w:noProof/>
        </w:rPr>
        <w:fldChar w:fldCharType="end"/>
      </w:r>
      <w:bookmarkEnd w:id="29"/>
      <w:r>
        <w:t xml:space="preserve">. Nominal (red circles) and standardized (blue triangles) </w:t>
      </w:r>
      <w:r w:rsidR="00074796">
        <w:t xml:space="preserve">swordfish </w:t>
      </w:r>
      <w:r>
        <w:t xml:space="preserve">CPUE </w:t>
      </w:r>
      <w:r w:rsidR="00074796">
        <w:t xml:space="preserve">(#swordfish/1000 hooks) </w:t>
      </w:r>
      <w:r>
        <w:rPr>
          <w:noProof/>
        </w:rPr>
        <w:t xml:space="preserve">from the Hawaii-based longline </w:t>
      </w:r>
      <w:r w:rsidR="00F764D8">
        <w:rPr>
          <w:noProof/>
        </w:rPr>
        <w:t>deep-set</w:t>
      </w:r>
      <w:r>
        <w:rPr>
          <w:noProof/>
        </w:rPr>
        <w:t xml:space="preserve"> fishery Pacific Islands Regional Observer Program </w:t>
      </w:r>
      <w:r w:rsidR="00345600">
        <w:rPr>
          <w:noProof/>
        </w:rPr>
        <w:t>data set</w:t>
      </w:r>
      <w:r>
        <w:rPr>
          <w:noProof/>
        </w:rPr>
        <w:t xml:space="preserve">. Dashed lines indicate 95% confidence intervals around the standardized </w:t>
      </w:r>
      <w:r w:rsidR="00DA3101">
        <w:rPr>
          <w:noProof/>
        </w:rPr>
        <w:t>CPUE values</w:t>
      </w:r>
      <w:r w:rsidR="008C5753">
        <w:rPr>
          <w:noProof/>
        </w:rPr>
        <w:t>.</w:t>
      </w:r>
    </w:p>
    <w:p w14:paraId="187477BA" w14:textId="77777777" w:rsidR="000F1E78" w:rsidRDefault="00ED7DC2">
      <w:pPr>
        <w:pStyle w:val="Caption"/>
      </w:pPr>
      <w:r w:rsidRPr="00ED7DC2">
        <w:rPr>
          <w:noProof/>
        </w:rPr>
        <w:t xml:space="preserve"> </w:t>
      </w:r>
      <w:r>
        <w:rPr>
          <w:noProof/>
        </w:rPr>
        <w:drawing>
          <wp:inline distT="0" distB="0" distL="0" distR="0" wp14:anchorId="4E5BAF47" wp14:editId="559BAC47">
            <wp:extent cx="2986529" cy="2084151"/>
            <wp:effectExtent l="0" t="0" r="4445" b="0"/>
            <wp:docPr id="33" name="Picture 33" descr="Scatterplot of Pearson residuals from the Hawaiian longline deep-set sector. Figure shows multiple clouds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epPosResid.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998371" cy="2092415"/>
                    </a:xfrm>
                    <a:prstGeom prst="rect">
                      <a:avLst/>
                    </a:prstGeom>
                  </pic:spPr>
                </pic:pic>
              </a:graphicData>
            </a:graphic>
          </wp:inline>
        </w:drawing>
      </w:r>
      <w:r w:rsidR="000F1E78">
        <w:rPr>
          <w:noProof/>
        </w:rPr>
        <w:drawing>
          <wp:inline distT="0" distB="0" distL="0" distR="0" wp14:anchorId="398444D5" wp14:editId="1B19901C">
            <wp:extent cx="2908570" cy="2201004"/>
            <wp:effectExtent l="0" t="0" r="6350" b="8890"/>
            <wp:docPr id="34" name="Picture 34" descr="Histogram of Pearson residuals from the Hawaiian longline deep-set sector. Histogram appears relatively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eepPosResidPearson.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928193" cy="2215853"/>
                    </a:xfrm>
                    <a:prstGeom prst="rect">
                      <a:avLst/>
                    </a:prstGeom>
                  </pic:spPr>
                </pic:pic>
              </a:graphicData>
            </a:graphic>
          </wp:inline>
        </w:drawing>
      </w:r>
      <w:r>
        <w:rPr>
          <w:noProof/>
        </w:rPr>
        <w:drawing>
          <wp:inline distT="0" distB="0" distL="0" distR="0" wp14:anchorId="26D896BB" wp14:editId="2CE17870">
            <wp:extent cx="2934292" cy="2088488"/>
            <wp:effectExtent l="0" t="0" r="0" b="7620"/>
            <wp:docPr id="32" name="Picture 32" descr="Normal QQ plot from the Hawaiian longline deep-set sector. The line deviates considerably from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epPosQQ.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955239" cy="2103397"/>
                    </a:xfrm>
                    <a:prstGeom prst="rect">
                      <a:avLst/>
                    </a:prstGeom>
                  </pic:spPr>
                </pic:pic>
              </a:graphicData>
            </a:graphic>
          </wp:inline>
        </w:drawing>
      </w:r>
    </w:p>
    <w:p w14:paraId="4721DB15" w14:textId="506DCCBD" w:rsidR="00B32B3A" w:rsidRDefault="000F1E78">
      <w:pPr>
        <w:pStyle w:val="Caption"/>
      </w:pPr>
      <w:bookmarkStart w:id="30" w:name="_Ref500490559"/>
      <w:bookmarkStart w:id="31" w:name="_Ref500850837"/>
      <w:r>
        <w:t xml:space="preserve">Figure </w:t>
      </w:r>
      <w:r w:rsidR="00A92D0A">
        <w:fldChar w:fldCharType="begin"/>
      </w:r>
      <w:r w:rsidR="00A92D0A">
        <w:instrText xml:space="preserve"> SEQ Figure \* ARABIC </w:instrText>
      </w:r>
      <w:r w:rsidR="00A92D0A">
        <w:fldChar w:fldCharType="separate"/>
      </w:r>
      <w:r w:rsidR="00E33BD3">
        <w:rPr>
          <w:noProof/>
        </w:rPr>
        <w:t>24</w:t>
      </w:r>
      <w:r w:rsidR="00A92D0A">
        <w:rPr>
          <w:noProof/>
        </w:rPr>
        <w:fldChar w:fldCharType="end"/>
      </w:r>
      <w:bookmarkEnd w:id="30"/>
      <w:r>
        <w:t xml:space="preserve">. </w:t>
      </w:r>
      <w:r w:rsidRPr="0072714D">
        <w:t xml:space="preserve">Diagnostic plots from the </w:t>
      </w:r>
      <w:r w:rsidR="00F81C3A">
        <w:t xml:space="preserve">lognormal model of the positive </w:t>
      </w:r>
      <w:r w:rsidR="00074796">
        <w:t xml:space="preserve">swordfish </w:t>
      </w:r>
      <w:r w:rsidR="00F81C3A">
        <w:t xml:space="preserve">catches in the </w:t>
      </w:r>
      <w:r w:rsidRPr="0072714D">
        <w:t>Hawa</w:t>
      </w:r>
      <w:r>
        <w:t xml:space="preserve">ii-based longline </w:t>
      </w:r>
      <w:r w:rsidR="00F764D8">
        <w:t>deep-set</w:t>
      </w:r>
      <w:r w:rsidRPr="0072714D">
        <w:t xml:space="preserve"> fisher</w:t>
      </w:r>
      <w:r>
        <w:t>y</w:t>
      </w:r>
      <w:r w:rsidRPr="0072714D">
        <w:t>: A scatterplot</w:t>
      </w:r>
      <w:r w:rsidR="00074796">
        <w:t xml:space="preserve"> of</w:t>
      </w:r>
      <w:r w:rsidRPr="0072714D">
        <w:t xml:space="preserve"> Pearson residuals (Upper left), a histogram of Pearson Residuals (top right) and a Q</w:t>
      </w:r>
      <w:r w:rsidR="00074796">
        <w:t>-</w:t>
      </w:r>
      <w:r w:rsidRPr="0072714D">
        <w:t>Q plot (bottom left).</w:t>
      </w:r>
      <w:bookmarkEnd w:id="31"/>
    </w:p>
    <w:p w14:paraId="78DE9D86" w14:textId="77777777" w:rsidR="00F81C3A" w:rsidRDefault="00F81C3A" w:rsidP="00F81C3A">
      <w:pPr>
        <w:keepNext/>
      </w:pPr>
      <w:r>
        <w:rPr>
          <w:noProof/>
        </w:rPr>
        <w:lastRenderedPageBreak/>
        <w:drawing>
          <wp:inline distT="0" distB="0" distL="0" distR="0" wp14:anchorId="56DE7528" wp14:editId="47CC482D">
            <wp:extent cx="2924964" cy="2188723"/>
            <wp:effectExtent l="0" t="0" r="8890" b="2540"/>
            <wp:docPr id="39" name="Picture 39" descr="Diagnostic plots: A scatterplot of Quantile residuals from the binomial model of the proportion positive catches in the Hawaii-based longline deep-set sector . Residuals show no signifcan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eepPropResid.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955650" cy="2211685"/>
                    </a:xfrm>
                    <a:prstGeom prst="rect">
                      <a:avLst/>
                    </a:prstGeom>
                  </pic:spPr>
                </pic:pic>
              </a:graphicData>
            </a:graphic>
          </wp:inline>
        </w:drawing>
      </w:r>
      <w:r>
        <w:rPr>
          <w:noProof/>
        </w:rPr>
        <w:drawing>
          <wp:inline distT="0" distB="0" distL="0" distR="0" wp14:anchorId="7CD9F778" wp14:editId="4B5A4B5E">
            <wp:extent cx="2989964" cy="2237362"/>
            <wp:effectExtent l="0" t="0" r="1270" b="0"/>
            <wp:docPr id="40" name="Picture 40" descr="Diagnostic plots: a histogram of Quantile Residuals from the binomial model of the proportion positive catches in the Hawaii-based longline deep set fishery. Histogram looks approximately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eepPropResidHist.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021535" cy="2260986"/>
                    </a:xfrm>
                    <a:prstGeom prst="rect">
                      <a:avLst/>
                    </a:prstGeom>
                  </pic:spPr>
                </pic:pic>
              </a:graphicData>
            </a:graphic>
          </wp:inline>
        </w:drawing>
      </w:r>
    </w:p>
    <w:p w14:paraId="44922531" w14:textId="06DF21CF" w:rsidR="00061043" w:rsidRDefault="00F81C3A">
      <w:pPr>
        <w:pStyle w:val="Caption"/>
      </w:pPr>
      <w:bookmarkStart w:id="32" w:name="_Ref500921814"/>
      <w:r>
        <w:t xml:space="preserve">Figure </w:t>
      </w:r>
      <w:r w:rsidR="00A92D0A">
        <w:fldChar w:fldCharType="begin"/>
      </w:r>
      <w:r w:rsidR="00A92D0A">
        <w:instrText xml:space="preserve"> SEQ Figure \* ARABIC </w:instrText>
      </w:r>
      <w:r w:rsidR="00A92D0A">
        <w:fldChar w:fldCharType="separate"/>
      </w:r>
      <w:r w:rsidR="00E33BD3">
        <w:rPr>
          <w:noProof/>
        </w:rPr>
        <w:t>25</w:t>
      </w:r>
      <w:r w:rsidR="00A92D0A">
        <w:rPr>
          <w:noProof/>
        </w:rPr>
        <w:fldChar w:fldCharType="end"/>
      </w:r>
      <w:bookmarkEnd w:id="32"/>
      <w:r>
        <w:t xml:space="preserve">. </w:t>
      </w:r>
      <w:r w:rsidRPr="009F3A49">
        <w:t xml:space="preserve">Diagnostic plots from the binomial model of the proportion positive </w:t>
      </w:r>
      <w:r w:rsidR="00B94F1C">
        <w:t xml:space="preserve">swordfish </w:t>
      </w:r>
      <w:r w:rsidRPr="009F3A49">
        <w:t xml:space="preserve">catches in the Hawaii-based longline </w:t>
      </w:r>
      <w:r w:rsidR="00F764D8">
        <w:t>deep-set</w:t>
      </w:r>
      <w:r w:rsidRPr="009F3A49">
        <w:t xml:space="preserve"> fishery: A scatterplot of Quantile residuals (left), a histogram of Quantile Residuals (right)</w:t>
      </w:r>
    </w:p>
    <w:p w14:paraId="35A99C92" w14:textId="77777777" w:rsidR="00061043" w:rsidRPr="00061043" w:rsidRDefault="00061043" w:rsidP="00061043">
      <w:pPr>
        <w:sectPr w:rsidR="00061043" w:rsidRPr="00061043" w:rsidSect="00A95B9F">
          <w:pgSz w:w="12240" w:h="15840"/>
          <w:pgMar w:top="1440" w:right="1440" w:bottom="1440" w:left="1440" w:header="720" w:footer="720" w:gutter="0"/>
          <w:cols w:space="720"/>
          <w:docGrid w:linePitch="360"/>
        </w:sectPr>
      </w:pPr>
    </w:p>
    <w:p w14:paraId="46E869BA" w14:textId="3920BB4C" w:rsidR="00D92655" w:rsidRDefault="00D92655" w:rsidP="00D92655">
      <w:pPr>
        <w:pStyle w:val="Heading1"/>
        <w:rPr>
          <w:rStyle w:val="IntenseEmphasis"/>
          <w:b/>
          <w:bCs w:val="0"/>
          <w:i w:val="0"/>
          <w:iCs w:val="0"/>
          <w:color w:val="auto"/>
        </w:rPr>
      </w:pPr>
      <w:r>
        <w:rPr>
          <w:rStyle w:val="IntenseEmphasis"/>
          <w:b/>
          <w:bCs w:val="0"/>
          <w:i w:val="0"/>
          <w:iCs w:val="0"/>
          <w:color w:val="auto"/>
        </w:rPr>
        <w:lastRenderedPageBreak/>
        <w:t>Appendi</w:t>
      </w:r>
      <w:r w:rsidR="00961706">
        <w:rPr>
          <w:rStyle w:val="IntenseEmphasis"/>
          <w:b/>
          <w:bCs w:val="0"/>
          <w:i w:val="0"/>
          <w:iCs w:val="0"/>
          <w:color w:val="auto"/>
        </w:rPr>
        <w:t>c</w:t>
      </w:r>
      <w:r>
        <w:rPr>
          <w:rStyle w:val="IntenseEmphasis"/>
          <w:b/>
          <w:bCs w:val="0"/>
          <w:i w:val="0"/>
          <w:iCs w:val="0"/>
          <w:color w:val="auto"/>
        </w:rPr>
        <w:t>es</w:t>
      </w:r>
    </w:p>
    <w:p w14:paraId="5D2CD27F" w14:textId="52B26F30" w:rsidR="005D22FB" w:rsidRPr="005D22FB" w:rsidRDefault="005D22FB" w:rsidP="005D22FB">
      <w:pPr>
        <w:pStyle w:val="Heading2"/>
      </w:pPr>
      <w:r>
        <w:t xml:space="preserve">Residual patterns of standardized </w:t>
      </w:r>
      <w:r w:rsidR="00B972DE">
        <w:t xml:space="preserve">swordfish </w:t>
      </w:r>
      <w:r>
        <w:t xml:space="preserve">CPUE </w:t>
      </w:r>
      <w:r w:rsidR="00B972DE">
        <w:t xml:space="preserve">(# swordfish/1000 hooks) </w:t>
      </w:r>
      <w:r>
        <w:t xml:space="preserve">by each variable for the Lognormal GLM on the Hawaii-based longline </w:t>
      </w:r>
      <w:r w:rsidR="000D0A0F">
        <w:t>shallow-set</w:t>
      </w:r>
      <w:r>
        <w:t xml:space="preserve"> fishery in the early period (1995</w:t>
      </w:r>
      <w:r w:rsidR="00F87FDD">
        <w:t>–</w:t>
      </w:r>
      <w:r>
        <w:t xml:space="preserve">2000) from the Pacific Islands Regional Observer Program </w:t>
      </w:r>
      <w:r w:rsidR="00345600">
        <w:t>data set</w:t>
      </w:r>
      <w:r>
        <w:t>.</w:t>
      </w:r>
    </w:p>
    <w:p w14:paraId="1B942862" w14:textId="77777777" w:rsidR="005D22FB" w:rsidRDefault="005D22FB" w:rsidP="0080240D">
      <w:pPr>
        <w:pStyle w:val="BodyText"/>
        <w:keepNext/>
        <w:jc w:val="center"/>
      </w:pPr>
      <w:r>
        <w:rPr>
          <w:noProof/>
        </w:rPr>
        <w:drawing>
          <wp:inline distT="0" distB="0" distL="0" distR="0" wp14:anchorId="48551711" wp14:editId="0362B8DA">
            <wp:extent cx="5377901" cy="3181350"/>
            <wp:effectExtent l="0" t="0" r="0" b="0"/>
            <wp:docPr id="27" name="Picture 27" descr="Pearson residuals by year, Quarter, Begin set time, and number of hooks per float. Residuals show no significant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halPosEarlyDiag1.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386552" cy="3186468"/>
                    </a:xfrm>
                    <a:prstGeom prst="rect">
                      <a:avLst/>
                    </a:prstGeom>
                  </pic:spPr>
                </pic:pic>
              </a:graphicData>
            </a:graphic>
          </wp:inline>
        </w:drawing>
      </w:r>
    </w:p>
    <w:p w14:paraId="1DDDEDB4" w14:textId="343C7CCB" w:rsidR="005D22FB" w:rsidRDefault="005D22FB">
      <w:pPr>
        <w:pStyle w:val="Caption"/>
      </w:pPr>
      <w:r>
        <w:t>Figure A</w:t>
      </w:r>
      <w:r w:rsidR="00A92D0A">
        <w:fldChar w:fldCharType="begin"/>
      </w:r>
      <w:r w:rsidR="00A92D0A">
        <w:instrText xml:space="preserve"> SEQ Figure_A \* ARABIC </w:instrText>
      </w:r>
      <w:r w:rsidR="00A92D0A">
        <w:fldChar w:fldCharType="separate"/>
      </w:r>
      <w:r w:rsidR="00E33BD3">
        <w:rPr>
          <w:noProof/>
        </w:rPr>
        <w:t>1</w:t>
      </w:r>
      <w:r w:rsidR="00A92D0A">
        <w:rPr>
          <w:noProof/>
        </w:rPr>
        <w:fldChar w:fldCharType="end"/>
      </w:r>
      <w:r>
        <w:t>. Pearson residuals by year (top left), Quarter (top right), Begin set time (bottom left), and number of hooks per float (bottom right). Solid lines indicate 0.</w:t>
      </w:r>
    </w:p>
    <w:p w14:paraId="65F4CB69" w14:textId="77777777" w:rsidR="005D22FB" w:rsidRDefault="005D22FB" w:rsidP="009A77CA">
      <w:pPr>
        <w:pStyle w:val="BodyText"/>
        <w:keepNext/>
        <w:jc w:val="center"/>
      </w:pPr>
      <w:r>
        <w:rPr>
          <w:noProof/>
        </w:rPr>
        <w:drawing>
          <wp:inline distT="0" distB="0" distL="0" distR="0" wp14:anchorId="7D5A3638" wp14:editId="08DEF6F0">
            <wp:extent cx="3657600" cy="3692768"/>
            <wp:effectExtent l="0" t="0" r="0" b="3175"/>
            <wp:docPr id="28" name="Picture 28" descr="Pearson residuals by latitude and number of hooks per set. Residuals show no signficant patter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alPosEarlyDiag2.png"/>
                    <pic:cNvPicPr/>
                  </pic:nvPicPr>
                  <pic:blipFill>
                    <a:blip r:embed="rId51">
                      <a:extLst>
                        <a:ext uri="{28A0092B-C50C-407E-A947-70E740481C1C}">
                          <a14:useLocalDpi xmlns:a14="http://schemas.microsoft.com/office/drawing/2010/main" val="0"/>
                        </a:ext>
                      </a:extLst>
                    </a:blip>
                    <a:stretch>
                      <a:fillRect/>
                    </a:stretch>
                  </pic:blipFill>
                  <pic:spPr>
                    <a:xfrm>
                      <a:off x="0" y="0"/>
                      <a:ext cx="3677979" cy="3713343"/>
                    </a:xfrm>
                    <a:prstGeom prst="rect">
                      <a:avLst/>
                    </a:prstGeom>
                  </pic:spPr>
                </pic:pic>
              </a:graphicData>
            </a:graphic>
          </wp:inline>
        </w:drawing>
      </w:r>
    </w:p>
    <w:p w14:paraId="7B2C5DBF" w14:textId="0F8C3FC1" w:rsidR="005D22FB" w:rsidRDefault="005D22FB">
      <w:pPr>
        <w:pStyle w:val="Caption"/>
      </w:pPr>
      <w:r>
        <w:t>Figure A</w:t>
      </w:r>
      <w:r w:rsidR="00A92D0A">
        <w:fldChar w:fldCharType="begin"/>
      </w:r>
      <w:r w:rsidR="00A92D0A">
        <w:instrText xml:space="preserve"> SEQ Figure_A \* ARABIC </w:instrText>
      </w:r>
      <w:r w:rsidR="00A92D0A">
        <w:fldChar w:fldCharType="separate"/>
      </w:r>
      <w:r w:rsidR="00E33BD3">
        <w:rPr>
          <w:noProof/>
        </w:rPr>
        <w:t>2</w:t>
      </w:r>
      <w:r w:rsidR="00A92D0A">
        <w:rPr>
          <w:noProof/>
        </w:rPr>
        <w:fldChar w:fldCharType="end"/>
      </w:r>
      <w:r>
        <w:t>. Pearson residuals by latitude (top)</w:t>
      </w:r>
      <w:r w:rsidRPr="00BF6D99">
        <w:t xml:space="preserve"> and number </w:t>
      </w:r>
      <w:r>
        <w:t>of hooks per set (bottom</w:t>
      </w:r>
      <w:r w:rsidRPr="00BF6D99">
        <w:t>). Solid lines indicate 0.</w:t>
      </w:r>
    </w:p>
    <w:p w14:paraId="70156A16" w14:textId="77777777" w:rsidR="005D22FB" w:rsidRDefault="005D22FB" w:rsidP="0080240D">
      <w:pPr>
        <w:pStyle w:val="BodyText"/>
        <w:keepNext/>
        <w:jc w:val="center"/>
      </w:pPr>
      <w:r>
        <w:rPr>
          <w:noProof/>
        </w:rPr>
        <w:lastRenderedPageBreak/>
        <w:drawing>
          <wp:inline distT="0" distB="0" distL="0" distR="0" wp14:anchorId="6CB3FA93" wp14:editId="4FA0CBBE">
            <wp:extent cx="5099103" cy="3427730"/>
            <wp:effectExtent l="0" t="0" r="6350" b="1270"/>
            <wp:docPr id="29" name="Picture 29" descr="Pearson residuals by sea surface temperature, mixed layer depth, and lunar illumination. Residuals show no significant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halPosEarlyDiag3.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130185" cy="3448624"/>
                    </a:xfrm>
                    <a:prstGeom prst="rect">
                      <a:avLst/>
                    </a:prstGeom>
                  </pic:spPr>
                </pic:pic>
              </a:graphicData>
            </a:graphic>
          </wp:inline>
        </w:drawing>
      </w:r>
    </w:p>
    <w:p w14:paraId="0093B805" w14:textId="127697F2" w:rsidR="005D22FB" w:rsidRDefault="005D22FB">
      <w:pPr>
        <w:pStyle w:val="Caption"/>
      </w:pPr>
      <w:r>
        <w:t>Figure A</w:t>
      </w:r>
      <w:r w:rsidR="00A92D0A">
        <w:fldChar w:fldCharType="begin"/>
      </w:r>
      <w:r w:rsidR="00A92D0A">
        <w:instrText xml:space="preserve"> SEQ Figure_A \* ARABIC </w:instrText>
      </w:r>
      <w:r w:rsidR="00A92D0A">
        <w:fldChar w:fldCharType="separate"/>
      </w:r>
      <w:r w:rsidR="00E33BD3">
        <w:rPr>
          <w:noProof/>
        </w:rPr>
        <w:t>3</w:t>
      </w:r>
      <w:r w:rsidR="00A92D0A">
        <w:rPr>
          <w:noProof/>
        </w:rPr>
        <w:fldChar w:fldCharType="end"/>
      </w:r>
      <w:r>
        <w:t>. Pearson residuals by sea surface temperature</w:t>
      </w:r>
      <w:r w:rsidRPr="00546311">
        <w:t xml:space="preserve"> (top left),</w:t>
      </w:r>
      <w:r>
        <w:t xml:space="preserve"> mixed layer depth (top right), and lunar illumination (bottom left)</w:t>
      </w:r>
      <w:r w:rsidRPr="00546311">
        <w:t>. Solid lines indicate 0.</w:t>
      </w:r>
    </w:p>
    <w:p w14:paraId="3E074C31" w14:textId="2196A1BA" w:rsidR="00003712" w:rsidRDefault="00003712" w:rsidP="005D22FB">
      <w:pPr>
        <w:pStyle w:val="Heading2"/>
      </w:pPr>
      <w:r>
        <w:t xml:space="preserve">Residual patterns of standardized </w:t>
      </w:r>
      <w:r w:rsidR="008967A3">
        <w:t xml:space="preserve">swordfish </w:t>
      </w:r>
      <w:r>
        <w:t xml:space="preserve">CPUE </w:t>
      </w:r>
      <w:r w:rsidR="008967A3">
        <w:t xml:space="preserve">(# swordfish/1000 hooks) </w:t>
      </w:r>
      <w:r>
        <w:t xml:space="preserve">by each variable for the Binomial GLM on the Hawaii-based longline </w:t>
      </w:r>
      <w:r w:rsidR="000D0A0F">
        <w:t>shallow-set</w:t>
      </w:r>
      <w:r>
        <w:t xml:space="preserve"> fishery in the early period (1995</w:t>
      </w:r>
      <w:r w:rsidR="00961706">
        <w:t>–</w:t>
      </w:r>
      <w:r>
        <w:t xml:space="preserve">2000) from the Pacific Islands Regional Observer Program </w:t>
      </w:r>
      <w:r w:rsidR="00345600">
        <w:t>data set</w:t>
      </w:r>
      <w:r>
        <w:t>.</w:t>
      </w:r>
    </w:p>
    <w:p w14:paraId="3902CC5E" w14:textId="77777777" w:rsidR="00003712" w:rsidRDefault="00003712" w:rsidP="00003712">
      <w:pPr>
        <w:pStyle w:val="BodyText"/>
        <w:keepNext/>
      </w:pPr>
      <w:r>
        <w:rPr>
          <w:noProof/>
        </w:rPr>
        <w:drawing>
          <wp:inline distT="0" distB="0" distL="0" distR="0" wp14:anchorId="66B5190E" wp14:editId="4C8F108B">
            <wp:extent cx="5943600" cy="3488690"/>
            <wp:effectExtent l="0" t="0" r="0" b="0"/>
            <wp:docPr id="41" name="Picture 41" descr="Pearson residuals by year, Quarter, number of hooks per float, and begin set time. No signifcant residual patterns are obse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halPropPosDiag1.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3488690"/>
                    </a:xfrm>
                    <a:prstGeom prst="rect">
                      <a:avLst/>
                    </a:prstGeom>
                  </pic:spPr>
                </pic:pic>
              </a:graphicData>
            </a:graphic>
          </wp:inline>
        </w:drawing>
      </w:r>
    </w:p>
    <w:p w14:paraId="3B670BEA" w14:textId="79577345" w:rsidR="00003712" w:rsidRDefault="00003712">
      <w:pPr>
        <w:pStyle w:val="Caption"/>
      </w:pPr>
      <w:r>
        <w:t>Figure A</w:t>
      </w:r>
      <w:r w:rsidR="00A92D0A">
        <w:fldChar w:fldCharType="begin"/>
      </w:r>
      <w:r w:rsidR="00A92D0A">
        <w:instrText xml:space="preserve"> SEQ Figure_A \* ARABIC </w:instrText>
      </w:r>
      <w:r w:rsidR="00A92D0A">
        <w:fldChar w:fldCharType="separate"/>
      </w:r>
      <w:r w:rsidR="00E33BD3">
        <w:rPr>
          <w:noProof/>
        </w:rPr>
        <w:t>4</w:t>
      </w:r>
      <w:r w:rsidR="00A92D0A">
        <w:rPr>
          <w:noProof/>
        </w:rPr>
        <w:fldChar w:fldCharType="end"/>
      </w:r>
      <w:r>
        <w:t xml:space="preserve">. </w:t>
      </w:r>
      <w:r w:rsidRPr="00826349">
        <w:t xml:space="preserve">Pearson residuals by year (top left), Quarter (top right), </w:t>
      </w:r>
      <w:r>
        <w:t>number of hooks per float</w:t>
      </w:r>
      <w:r w:rsidRPr="00826349">
        <w:t xml:space="preserve"> (bottom left), and </w:t>
      </w:r>
      <w:r>
        <w:t>begin set time</w:t>
      </w:r>
      <w:r w:rsidRPr="00826349">
        <w:t xml:space="preserve"> (bottom right). Solid lines indicate 0.</w:t>
      </w:r>
    </w:p>
    <w:p w14:paraId="7B40DAB5" w14:textId="77777777" w:rsidR="00003712" w:rsidRDefault="00003712" w:rsidP="00003712">
      <w:pPr>
        <w:pStyle w:val="BodyText"/>
        <w:keepNext/>
      </w:pPr>
      <w:r>
        <w:rPr>
          <w:noProof/>
        </w:rPr>
        <w:lastRenderedPageBreak/>
        <w:drawing>
          <wp:inline distT="0" distB="0" distL="0" distR="0" wp14:anchorId="277A71E6" wp14:editId="1F705062">
            <wp:extent cx="5943600" cy="3488690"/>
            <wp:effectExtent l="0" t="0" r="0" b="0"/>
            <wp:docPr id="42" name="Picture 42" descr="Pearson residuals by bait type, latitude, and lunar illumination. Residuals show no significant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halPropPosDiag2.png"/>
                    <pic:cNvPicPr/>
                  </pic:nvPicPr>
                  <pic:blipFill>
                    <a:blip r:embed="rId54">
                      <a:extLst>
                        <a:ext uri="{28A0092B-C50C-407E-A947-70E740481C1C}">
                          <a14:useLocalDpi xmlns:a14="http://schemas.microsoft.com/office/drawing/2010/main" val="0"/>
                        </a:ext>
                      </a:extLst>
                    </a:blip>
                    <a:stretch>
                      <a:fillRect/>
                    </a:stretch>
                  </pic:blipFill>
                  <pic:spPr>
                    <a:xfrm>
                      <a:off x="0" y="0"/>
                      <a:ext cx="5943600" cy="3488690"/>
                    </a:xfrm>
                    <a:prstGeom prst="rect">
                      <a:avLst/>
                    </a:prstGeom>
                  </pic:spPr>
                </pic:pic>
              </a:graphicData>
            </a:graphic>
          </wp:inline>
        </w:drawing>
      </w:r>
    </w:p>
    <w:p w14:paraId="021355A2" w14:textId="2AEE0A57" w:rsidR="00003712" w:rsidRPr="00003712" w:rsidRDefault="00003712">
      <w:pPr>
        <w:pStyle w:val="Caption"/>
      </w:pPr>
      <w:r>
        <w:t>Figure A</w:t>
      </w:r>
      <w:r w:rsidR="00A92D0A">
        <w:fldChar w:fldCharType="begin"/>
      </w:r>
      <w:r w:rsidR="00A92D0A">
        <w:instrText xml:space="preserve"> SEQ Figure_A \* ARABIC </w:instrText>
      </w:r>
      <w:r w:rsidR="00A92D0A">
        <w:fldChar w:fldCharType="separate"/>
      </w:r>
      <w:r w:rsidR="00E33BD3">
        <w:rPr>
          <w:noProof/>
        </w:rPr>
        <w:t>5</w:t>
      </w:r>
      <w:r w:rsidR="00A92D0A">
        <w:rPr>
          <w:noProof/>
        </w:rPr>
        <w:fldChar w:fldCharType="end"/>
      </w:r>
      <w:r>
        <w:t>. Pearson residuals by bait type</w:t>
      </w:r>
      <w:r w:rsidRPr="00D623E8">
        <w:t xml:space="preserve"> (top left), </w:t>
      </w:r>
      <w:r>
        <w:t>latitude</w:t>
      </w:r>
      <w:r w:rsidRPr="00D623E8">
        <w:t xml:space="preserve"> (top right), and </w:t>
      </w:r>
      <w:r>
        <w:t>lunar illumination</w:t>
      </w:r>
      <w:r w:rsidRPr="00D623E8">
        <w:t xml:space="preserve"> (bottom </w:t>
      </w:r>
      <w:r>
        <w:t>left</w:t>
      </w:r>
      <w:r w:rsidRPr="00D623E8">
        <w:t>). Solid lines indicate 0.</w:t>
      </w:r>
    </w:p>
    <w:p w14:paraId="3AC8CF57" w14:textId="1589A9CF" w:rsidR="005D22FB" w:rsidRPr="005D22FB" w:rsidRDefault="005D22FB" w:rsidP="005D22FB">
      <w:pPr>
        <w:pStyle w:val="Heading2"/>
      </w:pPr>
      <w:r>
        <w:t>Residual patterns of standardized</w:t>
      </w:r>
      <w:r w:rsidR="002024FA">
        <w:t xml:space="preserve"> swordfish</w:t>
      </w:r>
      <w:r>
        <w:t xml:space="preserve"> CPUE </w:t>
      </w:r>
      <w:r w:rsidR="002024FA">
        <w:t xml:space="preserve">(# swordfish/1000 hooks) </w:t>
      </w:r>
      <w:r>
        <w:t xml:space="preserve">by each variable for the Lognormal GLM on the Hawaii-based longline </w:t>
      </w:r>
      <w:r w:rsidR="000D0A0F">
        <w:t>shallow-set</w:t>
      </w:r>
      <w:r>
        <w:t xml:space="preserve"> fishery </w:t>
      </w:r>
      <w:r w:rsidR="00935CF3">
        <w:t>in the late</w:t>
      </w:r>
      <w:r>
        <w:t xml:space="preserve"> period (</w:t>
      </w:r>
      <w:r w:rsidR="00935CF3">
        <w:t>200</w:t>
      </w:r>
      <w:r>
        <w:t>5</w:t>
      </w:r>
      <w:r w:rsidR="00961706">
        <w:t>–</w:t>
      </w:r>
      <w:r>
        <w:t>20</w:t>
      </w:r>
      <w:r w:rsidR="00935CF3">
        <w:t>16</w:t>
      </w:r>
      <w:r>
        <w:t xml:space="preserve">) from the Pacific Islands Regional Observer Program </w:t>
      </w:r>
      <w:r w:rsidR="00345600">
        <w:t>data set</w:t>
      </w:r>
      <w:r>
        <w:t>.</w:t>
      </w:r>
    </w:p>
    <w:p w14:paraId="44C70BE2" w14:textId="77777777" w:rsidR="00935CF3" w:rsidRDefault="00935CF3" w:rsidP="0080240D">
      <w:pPr>
        <w:keepNext/>
        <w:jc w:val="center"/>
      </w:pPr>
      <w:r>
        <w:rPr>
          <w:noProof/>
        </w:rPr>
        <w:drawing>
          <wp:inline distT="0" distB="0" distL="0" distR="0" wp14:anchorId="32C8928C" wp14:editId="53AAE19F">
            <wp:extent cx="5581650" cy="3752109"/>
            <wp:effectExtent l="0" t="0" r="0" b="1270"/>
            <wp:docPr id="30" name="Picture 30" descr="Pearson residuals by year, Quarter, number of hooks per float, and latitude. Residuals show no significant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halPosLateDiag1.png"/>
                    <pic:cNvPicPr/>
                  </pic:nvPicPr>
                  <pic:blipFill>
                    <a:blip r:embed="rId55">
                      <a:extLst>
                        <a:ext uri="{28A0092B-C50C-407E-A947-70E740481C1C}">
                          <a14:useLocalDpi xmlns:a14="http://schemas.microsoft.com/office/drawing/2010/main" val="0"/>
                        </a:ext>
                      </a:extLst>
                    </a:blip>
                    <a:stretch>
                      <a:fillRect/>
                    </a:stretch>
                  </pic:blipFill>
                  <pic:spPr>
                    <a:xfrm>
                      <a:off x="0" y="0"/>
                      <a:ext cx="5586985" cy="3755696"/>
                    </a:xfrm>
                    <a:prstGeom prst="rect">
                      <a:avLst/>
                    </a:prstGeom>
                  </pic:spPr>
                </pic:pic>
              </a:graphicData>
            </a:graphic>
          </wp:inline>
        </w:drawing>
      </w:r>
    </w:p>
    <w:p w14:paraId="231FAE53" w14:textId="77777777" w:rsidR="00935CF3" w:rsidRDefault="00935CF3">
      <w:pPr>
        <w:pStyle w:val="Caption"/>
      </w:pPr>
      <w:r>
        <w:t xml:space="preserve">Figure A </w:t>
      </w:r>
      <w:r w:rsidR="00A92D0A">
        <w:fldChar w:fldCharType="begin"/>
      </w:r>
      <w:r w:rsidR="00A92D0A">
        <w:instrText xml:space="preserve"> SEQ Figure_A \* ARABIC </w:instrText>
      </w:r>
      <w:r w:rsidR="00A92D0A">
        <w:fldChar w:fldCharType="separate"/>
      </w:r>
      <w:r w:rsidR="00E33BD3">
        <w:rPr>
          <w:noProof/>
        </w:rPr>
        <w:t>6</w:t>
      </w:r>
      <w:r w:rsidR="00A92D0A">
        <w:rPr>
          <w:noProof/>
        </w:rPr>
        <w:fldChar w:fldCharType="end"/>
      </w:r>
      <w:r>
        <w:t xml:space="preserve">. </w:t>
      </w:r>
      <w:r w:rsidRPr="00486500">
        <w:t>Pearson residuals by year (top left), Qua</w:t>
      </w:r>
      <w:r>
        <w:t>rter (top right), number of hooks per float</w:t>
      </w:r>
      <w:r w:rsidRPr="00486500">
        <w:t xml:space="preserve"> (bottom left</w:t>
      </w:r>
      <w:r>
        <w:t>), and latitude</w:t>
      </w:r>
      <w:r w:rsidRPr="00486500">
        <w:t xml:space="preserve"> (bottom right). Solid lines indicate 0.</w:t>
      </w:r>
    </w:p>
    <w:p w14:paraId="116F7C19" w14:textId="77777777" w:rsidR="00935CF3" w:rsidRDefault="00935CF3" w:rsidP="0080240D">
      <w:pPr>
        <w:keepNext/>
        <w:jc w:val="center"/>
      </w:pPr>
      <w:r>
        <w:rPr>
          <w:noProof/>
        </w:rPr>
        <w:lastRenderedPageBreak/>
        <w:drawing>
          <wp:inline distT="0" distB="0" distL="0" distR="0" wp14:anchorId="5D9E65A7" wp14:editId="20AEB028">
            <wp:extent cx="5676900" cy="3788846"/>
            <wp:effectExtent l="0" t="0" r="0" b="2540"/>
            <wp:docPr id="31" name="Picture 31" descr="Pearson residuals by sea surface temperature (top left), number of hooks per set (top right), mixed layer depth (bottom left), and lunar illumination (bottom right). Solid lines indicate 0. Residuals show no significant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halPosLateDiag2.png"/>
                    <pic:cNvPicPr/>
                  </pic:nvPicPr>
                  <pic:blipFill>
                    <a:blip r:embed="rId56">
                      <a:extLst>
                        <a:ext uri="{28A0092B-C50C-407E-A947-70E740481C1C}">
                          <a14:useLocalDpi xmlns:a14="http://schemas.microsoft.com/office/drawing/2010/main" val="0"/>
                        </a:ext>
                      </a:extLst>
                    </a:blip>
                    <a:stretch>
                      <a:fillRect/>
                    </a:stretch>
                  </pic:blipFill>
                  <pic:spPr>
                    <a:xfrm>
                      <a:off x="0" y="0"/>
                      <a:ext cx="5686140" cy="3795013"/>
                    </a:xfrm>
                    <a:prstGeom prst="rect">
                      <a:avLst/>
                    </a:prstGeom>
                  </pic:spPr>
                </pic:pic>
              </a:graphicData>
            </a:graphic>
          </wp:inline>
        </w:drawing>
      </w:r>
    </w:p>
    <w:p w14:paraId="7CF88BAB" w14:textId="77777777" w:rsidR="005D22FB" w:rsidRDefault="00935CF3">
      <w:pPr>
        <w:pStyle w:val="Caption"/>
      </w:pPr>
      <w:r>
        <w:t xml:space="preserve">Figure A </w:t>
      </w:r>
      <w:r w:rsidR="00A92D0A">
        <w:fldChar w:fldCharType="begin"/>
      </w:r>
      <w:r w:rsidR="00A92D0A">
        <w:instrText xml:space="preserve"> SEQ Figure_A \* ARABIC </w:instrText>
      </w:r>
      <w:r w:rsidR="00A92D0A">
        <w:fldChar w:fldCharType="separate"/>
      </w:r>
      <w:r w:rsidR="00E33BD3">
        <w:rPr>
          <w:noProof/>
        </w:rPr>
        <w:t>7</w:t>
      </w:r>
      <w:r w:rsidR="00A92D0A">
        <w:rPr>
          <w:noProof/>
        </w:rPr>
        <w:fldChar w:fldCharType="end"/>
      </w:r>
      <w:r>
        <w:t xml:space="preserve">. </w:t>
      </w:r>
      <w:r w:rsidRPr="0061038C">
        <w:t>Pearson r</w:t>
      </w:r>
      <w:r>
        <w:t>esiduals by sea surface temperature (top left), number of hooks per set (top right), mixed layer depth</w:t>
      </w:r>
      <w:r w:rsidRPr="0061038C">
        <w:t xml:space="preserve"> (bottom left</w:t>
      </w:r>
      <w:r>
        <w:t>), and lunar illumination</w:t>
      </w:r>
      <w:r w:rsidRPr="0061038C">
        <w:t xml:space="preserve"> (bottom right). Solid lines indicate 0.</w:t>
      </w:r>
    </w:p>
    <w:p w14:paraId="66130EFD" w14:textId="1889AF27" w:rsidR="009C27CC" w:rsidRPr="005D22FB" w:rsidRDefault="009C27CC" w:rsidP="009C27CC">
      <w:pPr>
        <w:pStyle w:val="Heading2"/>
      </w:pPr>
      <w:r>
        <w:t xml:space="preserve">Residual patterns of standardized </w:t>
      </w:r>
      <w:r w:rsidR="00825677">
        <w:t xml:space="preserve">swordfish </w:t>
      </w:r>
      <w:r>
        <w:t xml:space="preserve">CPUE </w:t>
      </w:r>
      <w:r w:rsidR="00825677">
        <w:t xml:space="preserve">(# swordfish/1000 hooks) </w:t>
      </w:r>
      <w:r>
        <w:t xml:space="preserve">by each variable for the Lognormal GLM on the Hawaii-based longline </w:t>
      </w:r>
      <w:r w:rsidR="00F764D8">
        <w:t>deep-set</w:t>
      </w:r>
      <w:r>
        <w:t xml:space="preserve"> fishery from the Pacific Islands Regional Observer Program </w:t>
      </w:r>
      <w:r w:rsidR="00345600">
        <w:t>data set</w:t>
      </w:r>
      <w:r>
        <w:t>.</w:t>
      </w:r>
    </w:p>
    <w:p w14:paraId="0432E119" w14:textId="77777777" w:rsidR="0080240D" w:rsidRDefault="0080240D" w:rsidP="0080240D">
      <w:pPr>
        <w:keepNext/>
      </w:pPr>
      <w:r>
        <w:rPr>
          <w:noProof/>
        </w:rPr>
        <w:drawing>
          <wp:inline distT="0" distB="0" distL="0" distR="0" wp14:anchorId="68A8A501" wp14:editId="28CEF33A">
            <wp:extent cx="5943600" cy="3279140"/>
            <wp:effectExtent l="0" t="0" r="0" b="0"/>
            <wp:docPr id="35" name="Picture 35" descr="Pearson residuals by year, Quarter, number of hooks per float, and begin set time. Residuals have no signficant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eepDiag1.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5943600" cy="3279140"/>
                    </a:xfrm>
                    <a:prstGeom prst="rect">
                      <a:avLst/>
                    </a:prstGeom>
                  </pic:spPr>
                </pic:pic>
              </a:graphicData>
            </a:graphic>
          </wp:inline>
        </w:drawing>
      </w:r>
    </w:p>
    <w:p w14:paraId="2EF21FC0" w14:textId="30771B01" w:rsidR="009C27CC" w:rsidRDefault="0080240D">
      <w:pPr>
        <w:pStyle w:val="Caption"/>
      </w:pPr>
      <w:r>
        <w:t>Figure A</w:t>
      </w:r>
      <w:r w:rsidR="00A92D0A">
        <w:fldChar w:fldCharType="begin"/>
      </w:r>
      <w:r w:rsidR="00A92D0A">
        <w:instrText xml:space="preserve"> SEQ Fig</w:instrText>
      </w:r>
      <w:r w:rsidR="00A92D0A">
        <w:instrText xml:space="preserve">ure_A \* ARABIC </w:instrText>
      </w:r>
      <w:r w:rsidR="00A92D0A">
        <w:fldChar w:fldCharType="separate"/>
      </w:r>
      <w:r w:rsidR="00E33BD3">
        <w:rPr>
          <w:noProof/>
        </w:rPr>
        <w:t>8</w:t>
      </w:r>
      <w:r w:rsidR="00A92D0A">
        <w:rPr>
          <w:noProof/>
        </w:rPr>
        <w:fldChar w:fldCharType="end"/>
      </w:r>
      <w:r>
        <w:t xml:space="preserve">. </w:t>
      </w:r>
      <w:r w:rsidRPr="006D6275">
        <w:t xml:space="preserve">Pearson residuals by year (top left), Quarter (top right), number of hooks per float (bottom left), and </w:t>
      </w:r>
      <w:r>
        <w:t>begin set time</w:t>
      </w:r>
      <w:r w:rsidRPr="006D6275">
        <w:t xml:space="preserve"> (bottom right). Solid lines indicate 0.</w:t>
      </w:r>
    </w:p>
    <w:p w14:paraId="19B8CDE9" w14:textId="77777777" w:rsidR="00E7369A" w:rsidRDefault="00E7369A" w:rsidP="00E7369A">
      <w:pPr>
        <w:keepNext/>
      </w:pPr>
      <w:r>
        <w:rPr>
          <w:noProof/>
        </w:rPr>
        <w:lastRenderedPageBreak/>
        <w:drawing>
          <wp:inline distT="0" distB="0" distL="0" distR="0" wp14:anchorId="2655C613" wp14:editId="439C7DC0">
            <wp:extent cx="5943600" cy="3279140"/>
            <wp:effectExtent l="0" t="0" r="0" b="0"/>
            <wp:docPr id="36" name="Picture 36" descr="Pearson residuals by bait type, latitude, sea surface temperature, and number of hooks per set. The two clouds of residuals are evident in the scatter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eepDiag2.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943600" cy="3279140"/>
                    </a:xfrm>
                    <a:prstGeom prst="rect">
                      <a:avLst/>
                    </a:prstGeom>
                  </pic:spPr>
                </pic:pic>
              </a:graphicData>
            </a:graphic>
          </wp:inline>
        </w:drawing>
      </w:r>
    </w:p>
    <w:p w14:paraId="61C03038" w14:textId="6453CEE7" w:rsidR="00E7369A" w:rsidRDefault="00E7369A">
      <w:pPr>
        <w:pStyle w:val="Caption"/>
      </w:pPr>
      <w:r>
        <w:t>Figure A</w:t>
      </w:r>
      <w:r w:rsidR="00A92D0A">
        <w:fldChar w:fldCharType="begin"/>
      </w:r>
      <w:r w:rsidR="00A92D0A">
        <w:instrText xml:space="preserve"> SEQ Figure_A \* ARABIC </w:instrText>
      </w:r>
      <w:r w:rsidR="00A92D0A">
        <w:fldChar w:fldCharType="separate"/>
      </w:r>
      <w:r w:rsidR="00E33BD3">
        <w:rPr>
          <w:noProof/>
        </w:rPr>
        <w:t>9</w:t>
      </w:r>
      <w:r w:rsidR="00A92D0A">
        <w:rPr>
          <w:noProof/>
        </w:rPr>
        <w:fldChar w:fldCharType="end"/>
      </w:r>
      <w:r>
        <w:t xml:space="preserve">. </w:t>
      </w:r>
      <w:r w:rsidRPr="002B7AF4">
        <w:t xml:space="preserve">Pearson residuals by </w:t>
      </w:r>
      <w:r>
        <w:t>bait type</w:t>
      </w:r>
      <w:r w:rsidRPr="002B7AF4">
        <w:t xml:space="preserve"> (top left), </w:t>
      </w:r>
      <w:r>
        <w:t>latitude</w:t>
      </w:r>
      <w:r w:rsidRPr="002B7AF4">
        <w:t xml:space="preserve"> (top right), </w:t>
      </w:r>
      <w:r>
        <w:t>sea surface temperature</w:t>
      </w:r>
      <w:r w:rsidRPr="002B7AF4">
        <w:t xml:space="preserve"> (bottom left), and </w:t>
      </w:r>
      <w:r>
        <w:t>number of hooks per set</w:t>
      </w:r>
      <w:r w:rsidRPr="002B7AF4">
        <w:t xml:space="preserve"> (bottom right). Solid lines indicate 0.</w:t>
      </w:r>
    </w:p>
    <w:p w14:paraId="2506C69D" w14:textId="2EB17C04" w:rsidR="00D34486" w:rsidRPr="005D22FB" w:rsidRDefault="00D34486" w:rsidP="00D34486">
      <w:pPr>
        <w:pStyle w:val="Heading2"/>
      </w:pPr>
      <w:r>
        <w:t xml:space="preserve">Residual patterns of standardized </w:t>
      </w:r>
      <w:r w:rsidR="005513FF">
        <w:t xml:space="preserve">swordfish </w:t>
      </w:r>
      <w:r>
        <w:t xml:space="preserve">CPUE </w:t>
      </w:r>
      <w:r w:rsidR="005513FF">
        <w:t xml:space="preserve">(# swordfish/1000 hooks) </w:t>
      </w:r>
      <w:r>
        <w:t xml:space="preserve">by each variable for the Lognormal GLM on the Hawaii-based longline </w:t>
      </w:r>
      <w:r w:rsidR="00F764D8">
        <w:t>deep-set</w:t>
      </w:r>
      <w:r>
        <w:t xml:space="preserve"> fishery from the Pacific Islands Regional Observer Program </w:t>
      </w:r>
      <w:r w:rsidR="00345600">
        <w:t>data set</w:t>
      </w:r>
      <w:r>
        <w:t>.</w:t>
      </w:r>
    </w:p>
    <w:p w14:paraId="0FFE2897" w14:textId="77777777" w:rsidR="00D34486" w:rsidRDefault="00D34486" w:rsidP="00D34486">
      <w:pPr>
        <w:keepNext/>
      </w:pPr>
      <w:r>
        <w:rPr>
          <w:noProof/>
        </w:rPr>
        <w:drawing>
          <wp:inline distT="0" distB="0" distL="0" distR="0" wp14:anchorId="65910717" wp14:editId="07C9DD1E">
            <wp:extent cx="5943600" cy="3192780"/>
            <wp:effectExtent l="0" t="0" r="0" b="7620"/>
            <wp:docPr id="43" name="Picture 43" descr="Pearson residuals by year, quarter, number of hooks per float, and number of hooks per set. Residuals show no signficant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eepPropDiag1.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5943600" cy="3192780"/>
                    </a:xfrm>
                    <a:prstGeom prst="rect">
                      <a:avLst/>
                    </a:prstGeom>
                  </pic:spPr>
                </pic:pic>
              </a:graphicData>
            </a:graphic>
          </wp:inline>
        </w:drawing>
      </w:r>
    </w:p>
    <w:p w14:paraId="2467DB22" w14:textId="7E355014" w:rsidR="00D34486" w:rsidRDefault="00D34486">
      <w:pPr>
        <w:pStyle w:val="Caption"/>
      </w:pPr>
      <w:r>
        <w:t>Figure A</w:t>
      </w:r>
      <w:r w:rsidR="00A92D0A">
        <w:fldChar w:fldCharType="begin"/>
      </w:r>
      <w:r w:rsidR="00A92D0A">
        <w:instrText xml:space="preserve"> SEQ Figure_A \* ARABIC </w:instrText>
      </w:r>
      <w:r w:rsidR="00A92D0A">
        <w:fldChar w:fldCharType="separate"/>
      </w:r>
      <w:r w:rsidR="00E33BD3">
        <w:rPr>
          <w:noProof/>
        </w:rPr>
        <w:t>10</w:t>
      </w:r>
      <w:r w:rsidR="00A92D0A">
        <w:rPr>
          <w:noProof/>
        </w:rPr>
        <w:fldChar w:fldCharType="end"/>
      </w:r>
      <w:r>
        <w:t xml:space="preserve">. </w:t>
      </w:r>
      <w:r w:rsidRPr="00F40FAC">
        <w:t xml:space="preserve">Pearson residuals by year (top left), Quarter (top right), number of hooks per float (bottom left), and </w:t>
      </w:r>
      <w:r>
        <w:t>number of hooks per set</w:t>
      </w:r>
      <w:r w:rsidRPr="00F40FAC">
        <w:t xml:space="preserve"> (bottom right). Solid lines indicate 0.</w:t>
      </w:r>
    </w:p>
    <w:p w14:paraId="3F4E7C9F" w14:textId="77777777" w:rsidR="00D34486" w:rsidRDefault="00D34486" w:rsidP="00D34486">
      <w:pPr>
        <w:keepNext/>
      </w:pPr>
      <w:r>
        <w:rPr>
          <w:noProof/>
        </w:rPr>
        <w:lastRenderedPageBreak/>
        <w:drawing>
          <wp:inline distT="0" distB="0" distL="0" distR="0" wp14:anchorId="6634809E" wp14:editId="07371A7F">
            <wp:extent cx="5943600" cy="3192780"/>
            <wp:effectExtent l="0" t="0" r="0" b="7620"/>
            <wp:docPr id="44" name="Picture 44" descr="Pearson residuals by latitude, begin set time, sea surface temperature, and lunar illumination. Residuals show no signficant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eepPropDiag2.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5943600" cy="3192780"/>
                    </a:xfrm>
                    <a:prstGeom prst="rect">
                      <a:avLst/>
                    </a:prstGeom>
                  </pic:spPr>
                </pic:pic>
              </a:graphicData>
            </a:graphic>
          </wp:inline>
        </w:drawing>
      </w:r>
    </w:p>
    <w:p w14:paraId="410FAE5D" w14:textId="5E4DF923" w:rsidR="00D34486" w:rsidRDefault="00D34486">
      <w:pPr>
        <w:pStyle w:val="Caption"/>
      </w:pPr>
      <w:r>
        <w:t>Figure A</w:t>
      </w:r>
      <w:r w:rsidR="00A92D0A">
        <w:fldChar w:fldCharType="begin"/>
      </w:r>
      <w:r w:rsidR="00A92D0A">
        <w:instrText xml:space="preserve"> SEQ Figure_A \* ARABIC </w:instrText>
      </w:r>
      <w:r w:rsidR="00A92D0A">
        <w:fldChar w:fldCharType="separate"/>
      </w:r>
      <w:r w:rsidR="00E33BD3">
        <w:rPr>
          <w:noProof/>
        </w:rPr>
        <w:t>11</w:t>
      </w:r>
      <w:r w:rsidR="00A92D0A">
        <w:rPr>
          <w:noProof/>
        </w:rPr>
        <w:fldChar w:fldCharType="end"/>
      </w:r>
      <w:r>
        <w:t xml:space="preserve">. </w:t>
      </w:r>
      <w:r w:rsidRPr="00CC6994">
        <w:t>Pearson residuals by</w:t>
      </w:r>
      <w:r>
        <w:t xml:space="preserve"> latitude</w:t>
      </w:r>
      <w:r w:rsidRPr="00CC6994">
        <w:t xml:space="preserve"> (top left), </w:t>
      </w:r>
      <w:r>
        <w:t>begin set time</w:t>
      </w:r>
      <w:r w:rsidRPr="00CC6994">
        <w:t xml:space="preserve"> (top right), </w:t>
      </w:r>
      <w:r>
        <w:t>sea surface temperature</w:t>
      </w:r>
      <w:r w:rsidRPr="00CC6994">
        <w:t xml:space="preserve"> (bottom left), and </w:t>
      </w:r>
      <w:r>
        <w:t>lunar illumination</w:t>
      </w:r>
      <w:r w:rsidRPr="00CC6994">
        <w:t xml:space="preserve"> (bottom right). Solid lines indicate 0.</w:t>
      </w:r>
    </w:p>
    <w:p w14:paraId="11A0EE05" w14:textId="77777777" w:rsidR="00D34486" w:rsidRDefault="00D34486" w:rsidP="00D34486">
      <w:pPr>
        <w:keepNext/>
      </w:pPr>
      <w:r>
        <w:rPr>
          <w:noProof/>
        </w:rPr>
        <w:drawing>
          <wp:inline distT="0" distB="0" distL="0" distR="0" wp14:anchorId="68003F98" wp14:editId="6C9492AB">
            <wp:extent cx="5943600" cy="1628775"/>
            <wp:effectExtent l="0" t="0" r="0" b="9525"/>
            <wp:docPr id="45" name="Picture 45" descr="Pearson residuals by mixed layer depth and the Southern Oscillation Index. Residuals show no significant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eepPropDiag3.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inline>
        </w:drawing>
      </w:r>
    </w:p>
    <w:p w14:paraId="65D7ED30" w14:textId="705BA6E1" w:rsidR="00D34486" w:rsidRPr="00D34486" w:rsidRDefault="00D34486">
      <w:pPr>
        <w:pStyle w:val="Caption"/>
      </w:pPr>
      <w:r>
        <w:t>Figure A</w:t>
      </w:r>
      <w:r w:rsidR="00A92D0A">
        <w:fldChar w:fldCharType="begin"/>
      </w:r>
      <w:r w:rsidR="00A92D0A">
        <w:instrText xml:space="preserve"> SEQ Figure_A \* ARABIC </w:instrText>
      </w:r>
      <w:r w:rsidR="00A92D0A">
        <w:fldChar w:fldCharType="separate"/>
      </w:r>
      <w:r w:rsidR="00E33BD3">
        <w:rPr>
          <w:noProof/>
        </w:rPr>
        <w:t>12</w:t>
      </w:r>
      <w:r w:rsidR="00A92D0A">
        <w:rPr>
          <w:noProof/>
        </w:rPr>
        <w:fldChar w:fldCharType="end"/>
      </w:r>
      <w:r>
        <w:t>. Pearson residuals by mixed layer depth (left)</w:t>
      </w:r>
      <w:r w:rsidRPr="008823F1">
        <w:t xml:space="preserve"> and </w:t>
      </w:r>
      <w:r>
        <w:t>the Southern Oscillation Index</w:t>
      </w:r>
      <w:r w:rsidRPr="008823F1">
        <w:t xml:space="preserve"> (right). Solid lines indicate 0.</w:t>
      </w:r>
    </w:p>
    <w:sectPr w:rsidR="00D34486" w:rsidRPr="00D34486" w:rsidSect="00A95B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CC10E" w14:textId="77777777" w:rsidR="00A92D0A" w:rsidRDefault="00A92D0A" w:rsidP="00653238">
      <w:r>
        <w:separator/>
      </w:r>
    </w:p>
    <w:p w14:paraId="18772C8D" w14:textId="77777777" w:rsidR="00A92D0A" w:rsidRDefault="00A92D0A" w:rsidP="00653238"/>
    <w:p w14:paraId="2EF4D75E" w14:textId="77777777" w:rsidR="00A92D0A" w:rsidRDefault="00A92D0A"/>
  </w:endnote>
  <w:endnote w:type="continuationSeparator" w:id="0">
    <w:p w14:paraId="7D2860AF" w14:textId="77777777" w:rsidR="00A92D0A" w:rsidRDefault="00A92D0A" w:rsidP="00653238">
      <w:r>
        <w:continuationSeparator/>
      </w:r>
    </w:p>
    <w:p w14:paraId="11120926" w14:textId="77777777" w:rsidR="00A92D0A" w:rsidRDefault="00A92D0A" w:rsidP="00653238"/>
    <w:p w14:paraId="7BF5ACAD" w14:textId="77777777" w:rsidR="00A92D0A" w:rsidRDefault="00A92D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2893250"/>
      <w:docPartObj>
        <w:docPartGallery w:val="Page Numbers (Bottom of Page)"/>
        <w:docPartUnique/>
      </w:docPartObj>
    </w:sdtPr>
    <w:sdtEndPr>
      <w:rPr>
        <w:noProof/>
      </w:rPr>
    </w:sdtEndPr>
    <w:sdtContent>
      <w:p w14:paraId="6146D816" w14:textId="715FD96A" w:rsidR="00F66A40" w:rsidRDefault="00F66A40" w:rsidP="00364B34">
        <w:pPr>
          <w:pStyle w:val="Footer"/>
          <w:jc w:val="right"/>
        </w:pPr>
        <w:r>
          <w:fldChar w:fldCharType="begin"/>
        </w:r>
        <w:r>
          <w:instrText xml:space="preserve"> PAGE   \* MERGEFORMAT </w:instrText>
        </w:r>
        <w:r>
          <w:fldChar w:fldCharType="separate"/>
        </w:r>
        <w:r w:rsidR="00427050">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2456978"/>
      <w:docPartObj>
        <w:docPartGallery w:val="Page Numbers (Bottom of Page)"/>
        <w:docPartUnique/>
      </w:docPartObj>
    </w:sdtPr>
    <w:sdtEndPr>
      <w:rPr>
        <w:noProof/>
      </w:rPr>
    </w:sdtEndPr>
    <w:sdtContent>
      <w:p w14:paraId="2BA865AA" w14:textId="2A76F9A3" w:rsidR="00F66A40" w:rsidRDefault="00F66A40" w:rsidP="00A95B9F">
        <w:pPr>
          <w:pStyle w:val="Footer"/>
          <w:jc w:val="right"/>
        </w:pPr>
        <w:r>
          <w:fldChar w:fldCharType="begin"/>
        </w:r>
        <w:r>
          <w:instrText xml:space="preserve"> PAGE   \* MERGEFORMAT </w:instrText>
        </w:r>
        <w:r>
          <w:fldChar w:fldCharType="separate"/>
        </w:r>
        <w:r w:rsidR="00427050">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1893E" w14:textId="071DE68D" w:rsidR="00F66A40" w:rsidRPr="000F4793" w:rsidRDefault="00F66A40" w:rsidP="000F4793">
    <w:pPr>
      <w:pStyle w:val="Notes"/>
    </w:pPr>
    <w:r>
      <w:t>Working document submitted to the ISC Billfish Working Group, International Scientific Committee for Tuna and Tuna-like Species in the North Pacific Ocean, 17-23 January 2018, Honolulu, HI, USA. Document not to be cited with author’s permission.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EED19" w14:textId="77777777" w:rsidR="00A92D0A" w:rsidRDefault="00A92D0A" w:rsidP="00653238">
      <w:r>
        <w:separator/>
      </w:r>
    </w:p>
    <w:p w14:paraId="089A9CF2" w14:textId="77777777" w:rsidR="00A92D0A" w:rsidRDefault="00A92D0A" w:rsidP="00653238"/>
    <w:p w14:paraId="2E83A09E" w14:textId="77777777" w:rsidR="00A92D0A" w:rsidRDefault="00A92D0A"/>
  </w:footnote>
  <w:footnote w:type="continuationSeparator" w:id="0">
    <w:p w14:paraId="763F5C6F" w14:textId="77777777" w:rsidR="00A92D0A" w:rsidRDefault="00A92D0A" w:rsidP="00653238">
      <w:r>
        <w:continuationSeparator/>
      </w:r>
    </w:p>
    <w:p w14:paraId="77C9F50C" w14:textId="77777777" w:rsidR="00A92D0A" w:rsidRDefault="00A92D0A" w:rsidP="00653238"/>
    <w:p w14:paraId="19CACEC3" w14:textId="77777777" w:rsidR="00A92D0A" w:rsidRDefault="00A92D0A"/>
  </w:footnote>
  <w:footnote w:id="1">
    <w:p w14:paraId="40F5F7D6" w14:textId="1E47BD16" w:rsidR="00F66A40" w:rsidRDefault="00F66A40">
      <w:pPr>
        <w:pStyle w:val="FootnoteText"/>
      </w:pPr>
      <w:r>
        <w:rPr>
          <w:rStyle w:val="FootnoteReference"/>
        </w:rPr>
        <w:footnoteRef/>
      </w:r>
      <w:r>
        <w:t xml:space="preserve"> PIFSC Working Paper WP-18-??.</w:t>
      </w:r>
    </w:p>
    <w:p w14:paraId="52EB0C67" w14:textId="412DBD86" w:rsidR="00F66A40" w:rsidRDefault="00F66A40">
      <w:pPr>
        <w:pStyle w:val="FootnoteText"/>
      </w:pPr>
      <w:r>
        <w:t>Issued May xx 2018.</w:t>
      </w:r>
    </w:p>
  </w:footnote>
  <w:footnote w:id="2">
    <w:p w14:paraId="1D9C0F1F" w14:textId="0C0813EA" w:rsidR="00F66A40" w:rsidRDefault="00F66A40">
      <w:pPr>
        <w:pStyle w:val="FootnoteText"/>
      </w:pPr>
      <w:r>
        <w:rPr>
          <w:rStyle w:val="FootnoteReference"/>
        </w:rPr>
        <w:footnoteRef/>
      </w:r>
      <w:r>
        <w:t xml:space="preserve"> </w:t>
      </w:r>
      <w:r w:rsidRPr="009511CE">
        <w:rPr>
          <w:iCs/>
          <w:szCs w:val="24"/>
        </w:rPr>
        <w:t>http://www.esrl.noaa.gov/psd/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1D4E3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BABE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44827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EE4C4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41ED2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704B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D161E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3829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FEB6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48AE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763940"/>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E2537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inkAnnotations="0"/>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0E5"/>
    <w:rsid w:val="00001521"/>
    <w:rsid w:val="00001CB1"/>
    <w:rsid w:val="00003712"/>
    <w:rsid w:val="00010723"/>
    <w:rsid w:val="00010DEF"/>
    <w:rsid w:val="0001312E"/>
    <w:rsid w:val="0001777F"/>
    <w:rsid w:val="00020781"/>
    <w:rsid w:val="0002270C"/>
    <w:rsid w:val="00023495"/>
    <w:rsid w:val="00023940"/>
    <w:rsid w:val="00026761"/>
    <w:rsid w:val="00027A3B"/>
    <w:rsid w:val="00030135"/>
    <w:rsid w:val="0003114A"/>
    <w:rsid w:val="00034615"/>
    <w:rsid w:val="00041DA9"/>
    <w:rsid w:val="0004609F"/>
    <w:rsid w:val="00060819"/>
    <w:rsid w:val="00061043"/>
    <w:rsid w:val="0006665C"/>
    <w:rsid w:val="00074796"/>
    <w:rsid w:val="0007749C"/>
    <w:rsid w:val="00081876"/>
    <w:rsid w:val="00081F22"/>
    <w:rsid w:val="00087931"/>
    <w:rsid w:val="00097E9C"/>
    <w:rsid w:val="000A0BF9"/>
    <w:rsid w:val="000A29EF"/>
    <w:rsid w:val="000B4002"/>
    <w:rsid w:val="000D0A0F"/>
    <w:rsid w:val="000D32F0"/>
    <w:rsid w:val="000E02CB"/>
    <w:rsid w:val="000E6AAE"/>
    <w:rsid w:val="000E7AF7"/>
    <w:rsid w:val="000F0C39"/>
    <w:rsid w:val="000F1A3D"/>
    <w:rsid w:val="000F1E78"/>
    <w:rsid w:val="000F207C"/>
    <w:rsid w:val="000F4793"/>
    <w:rsid w:val="00111820"/>
    <w:rsid w:val="00112EDC"/>
    <w:rsid w:val="001144FD"/>
    <w:rsid w:val="0011580F"/>
    <w:rsid w:val="001179F0"/>
    <w:rsid w:val="0012349B"/>
    <w:rsid w:val="00125EB9"/>
    <w:rsid w:val="00125ED7"/>
    <w:rsid w:val="00127F44"/>
    <w:rsid w:val="001353B0"/>
    <w:rsid w:val="00142BF7"/>
    <w:rsid w:val="00146061"/>
    <w:rsid w:val="001523F4"/>
    <w:rsid w:val="001562DB"/>
    <w:rsid w:val="0016408D"/>
    <w:rsid w:val="00165E18"/>
    <w:rsid w:val="001748E8"/>
    <w:rsid w:val="001763BA"/>
    <w:rsid w:val="00177231"/>
    <w:rsid w:val="00182EF1"/>
    <w:rsid w:val="00196DCA"/>
    <w:rsid w:val="001B04AE"/>
    <w:rsid w:val="001B17E5"/>
    <w:rsid w:val="001B19C5"/>
    <w:rsid w:val="001B5596"/>
    <w:rsid w:val="001B7055"/>
    <w:rsid w:val="001B7BF9"/>
    <w:rsid w:val="001C028D"/>
    <w:rsid w:val="001C3194"/>
    <w:rsid w:val="001D7026"/>
    <w:rsid w:val="001D7059"/>
    <w:rsid w:val="001E7656"/>
    <w:rsid w:val="001F1D0D"/>
    <w:rsid w:val="002016EC"/>
    <w:rsid w:val="002024FA"/>
    <w:rsid w:val="00203F35"/>
    <w:rsid w:val="00204EB6"/>
    <w:rsid w:val="00205391"/>
    <w:rsid w:val="0020575F"/>
    <w:rsid w:val="00206349"/>
    <w:rsid w:val="00210A66"/>
    <w:rsid w:val="00210DD8"/>
    <w:rsid w:val="00224D2F"/>
    <w:rsid w:val="002252C5"/>
    <w:rsid w:val="00237CD6"/>
    <w:rsid w:val="002415FC"/>
    <w:rsid w:val="002418A0"/>
    <w:rsid w:val="002457CC"/>
    <w:rsid w:val="002516E4"/>
    <w:rsid w:val="00255755"/>
    <w:rsid w:val="00255E99"/>
    <w:rsid w:val="00270BA9"/>
    <w:rsid w:val="00272E9F"/>
    <w:rsid w:val="002801E9"/>
    <w:rsid w:val="002805CB"/>
    <w:rsid w:val="00281477"/>
    <w:rsid w:val="00284635"/>
    <w:rsid w:val="002871CC"/>
    <w:rsid w:val="00297AC3"/>
    <w:rsid w:val="002A27F0"/>
    <w:rsid w:val="002B31F5"/>
    <w:rsid w:val="002C1F76"/>
    <w:rsid w:val="002D1253"/>
    <w:rsid w:val="002D5E78"/>
    <w:rsid w:val="002D6713"/>
    <w:rsid w:val="002E0339"/>
    <w:rsid w:val="002E0CE4"/>
    <w:rsid w:val="002E5D01"/>
    <w:rsid w:val="002E685B"/>
    <w:rsid w:val="002F54E5"/>
    <w:rsid w:val="0030112C"/>
    <w:rsid w:val="00302F5B"/>
    <w:rsid w:val="00313913"/>
    <w:rsid w:val="0031621B"/>
    <w:rsid w:val="00320F5E"/>
    <w:rsid w:val="00322E9A"/>
    <w:rsid w:val="00327A8E"/>
    <w:rsid w:val="003331D3"/>
    <w:rsid w:val="00335E18"/>
    <w:rsid w:val="00335E9C"/>
    <w:rsid w:val="00341E8B"/>
    <w:rsid w:val="00345248"/>
    <w:rsid w:val="00345600"/>
    <w:rsid w:val="0034680D"/>
    <w:rsid w:val="00350166"/>
    <w:rsid w:val="003509E5"/>
    <w:rsid w:val="00364B34"/>
    <w:rsid w:val="0036763F"/>
    <w:rsid w:val="00370E15"/>
    <w:rsid w:val="00373858"/>
    <w:rsid w:val="00373DD3"/>
    <w:rsid w:val="0038429A"/>
    <w:rsid w:val="00384E56"/>
    <w:rsid w:val="00391985"/>
    <w:rsid w:val="003A517F"/>
    <w:rsid w:val="003A6E1A"/>
    <w:rsid w:val="003A7D61"/>
    <w:rsid w:val="003B6D2A"/>
    <w:rsid w:val="003D04A4"/>
    <w:rsid w:val="003D21D6"/>
    <w:rsid w:val="003D322A"/>
    <w:rsid w:val="003E1B32"/>
    <w:rsid w:val="003E399E"/>
    <w:rsid w:val="003F234F"/>
    <w:rsid w:val="003F3C36"/>
    <w:rsid w:val="003F5928"/>
    <w:rsid w:val="00403A61"/>
    <w:rsid w:val="00406932"/>
    <w:rsid w:val="004161BB"/>
    <w:rsid w:val="00420480"/>
    <w:rsid w:val="004260E5"/>
    <w:rsid w:val="00427050"/>
    <w:rsid w:val="00430985"/>
    <w:rsid w:val="00430DEA"/>
    <w:rsid w:val="0043485A"/>
    <w:rsid w:val="00450F7A"/>
    <w:rsid w:val="004558A2"/>
    <w:rsid w:val="00456509"/>
    <w:rsid w:val="00460E99"/>
    <w:rsid w:val="0046415D"/>
    <w:rsid w:val="004654E8"/>
    <w:rsid w:val="00465835"/>
    <w:rsid w:val="00467E09"/>
    <w:rsid w:val="00470059"/>
    <w:rsid w:val="00472543"/>
    <w:rsid w:val="00477E9F"/>
    <w:rsid w:val="00481D94"/>
    <w:rsid w:val="00485B1D"/>
    <w:rsid w:val="00491C16"/>
    <w:rsid w:val="004926CB"/>
    <w:rsid w:val="00492B45"/>
    <w:rsid w:val="00493B55"/>
    <w:rsid w:val="00495129"/>
    <w:rsid w:val="004967A4"/>
    <w:rsid w:val="004A2CB8"/>
    <w:rsid w:val="004A7313"/>
    <w:rsid w:val="004A7837"/>
    <w:rsid w:val="004C116E"/>
    <w:rsid w:val="004C31F2"/>
    <w:rsid w:val="004C70AB"/>
    <w:rsid w:val="004D0A3D"/>
    <w:rsid w:val="004D7102"/>
    <w:rsid w:val="004E27FF"/>
    <w:rsid w:val="004E3308"/>
    <w:rsid w:val="004F3B31"/>
    <w:rsid w:val="00507019"/>
    <w:rsid w:val="005138E7"/>
    <w:rsid w:val="00520E39"/>
    <w:rsid w:val="005220E5"/>
    <w:rsid w:val="0052372B"/>
    <w:rsid w:val="00523904"/>
    <w:rsid w:val="00523C04"/>
    <w:rsid w:val="00523C72"/>
    <w:rsid w:val="00534BEF"/>
    <w:rsid w:val="005378EE"/>
    <w:rsid w:val="005500B8"/>
    <w:rsid w:val="005509C3"/>
    <w:rsid w:val="005513FF"/>
    <w:rsid w:val="00552830"/>
    <w:rsid w:val="00562F0D"/>
    <w:rsid w:val="00567787"/>
    <w:rsid w:val="00573548"/>
    <w:rsid w:val="005826D4"/>
    <w:rsid w:val="005B2702"/>
    <w:rsid w:val="005C0C8C"/>
    <w:rsid w:val="005C6367"/>
    <w:rsid w:val="005D22FB"/>
    <w:rsid w:val="005D2CEA"/>
    <w:rsid w:val="005D743B"/>
    <w:rsid w:val="005E426B"/>
    <w:rsid w:val="005E4ABE"/>
    <w:rsid w:val="005E4FE4"/>
    <w:rsid w:val="005F05D5"/>
    <w:rsid w:val="00600626"/>
    <w:rsid w:val="00601D42"/>
    <w:rsid w:val="006073B2"/>
    <w:rsid w:val="0062121A"/>
    <w:rsid w:val="006220B9"/>
    <w:rsid w:val="006231C1"/>
    <w:rsid w:val="00624AEF"/>
    <w:rsid w:val="006419A5"/>
    <w:rsid w:val="00650EBB"/>
    <w:rsid w:val="00651D7A"/>
    <w:rsid w:val="00653238"/>
    <w:rsid w:val="006535E5"/>
    <w:rsid w:val="00653623"/>
    <w:rsid w:val="00657BBB"/>
    <w:rsid w:val="00666A7F"/>
    <w:rsid w:val="006810E3"/>
    <w:rsid w:val="00684E87"/>
    <w:rsid w:val="006855B9"/>
    <w:rsid w:val="0068630E"/>
    <w:rsid w:val="006879A4"/>
    <w:rsid w:val="00696776"/>
    <w:rsid w:val="006A0806"/>
    <w:rsid w:val="006A0AD4"/>
    <w:rsid w:val="006A2162"/>
    <w:rsid w:val="006B13F0"/>
    <w:rsid w:val="006B2C79"/>
    <w:rsid w:val="006C25B5"/>
    <w:rsid w:val="006C416F"/>
    <w:rsid w:val="006D1EE3"/>
    <w:rsid w:val="006D6CD3"/>
    <w:rsid w:val="006E3174"/>
    <w:rsid w:val="006E3B63"/>
    <w:rsid w:val="006E5FB0"/>
    <w:rsid w:val="00701CBA"/>
    <w:rsid w:val="007132FE"/>
    <w:rsid w:val="0071450B"/>
    <w:rsid w:val="007176BD"/>
    <w:rsid w:val="007236A7"/>
    <w:rsid w:val="00734D9E"/>
    <w:rsid w:val="007355A3"/>
    <w:rsid w:val="007355F8"/>
    <w:rsid w:val="0073682D"/>
    <w:rsid w:val="00736D4F"/>
    <w:rsid w:val="00747624"/>
    <w:rsid w:val="0075067E"/>
    <w:rsid w:val="00757399"/>
    <w:rsid w:val="00757CCA"/>
    <w:rsid w:val="0077503F"/>
    <w:rsid w:val="00775516"/>
    <w:rsid w:val="007762F7"/>
    <w:rsid w:val="007767C0"/>
    <w:rsid w:val="007858E9"/>
    <w:rsid w:val="007860D4"/>
    <w:rsid w:val="0079566E"/>
    <w:rsid w:val="007A226D"/>
    <w:rsid w:val="007A5260"/>
    <w:rsid w:val="007B3A36"/>
    <w:rsid w:val="007B4D2B"/>
    <w:rsid w:val="007B59DB"/>
    <w:rsid w:val="007C14EA"/>
    <w:rsid w:val="007C35F8"/>
    <w:rsid w:val="007D792E"/>
    <w:rsid w:val="007F0021"/>
    <w:rsid w:val="00800520"/>
    <w:rsid w:val="0080240D"/>
    <w:rsid w:val="008043E3"/>
    <w:rsid w:val="008054B4"/>
    <w:rsid w:val="00805BCA"/>
    <w:rsid w:val="008118DE"/>
    <w:rsid w:val="008215A1"/>
    <w:rsid w:val="00822970"/>
    <w:rsid w:val="00825677"/>
    <w:rsid w:val="008306A5"/>
    <w:rsid w:val="00831A13"/>
    <w:rsid w:val="00832217"/>
    <w:rsid w:val="00834F03"/>
    <w:rsid w:val="008354E7"/>
    <w:rsid w:val="008425DB"/>
    <w:rsid w:val="00850864"/>
    <w:rsid w:val="00854A38"/>
    <w:rsid w:val="0086033B"/>
    <w:rsid w:val="00865763"/>
    <w:rsid w:val="00865962"/>
    <w:rsid w:val="00866154"/>
    <w:rsid w:val="008679FF"/>
    <w:rsid w:val="0087215F"/>
    <w:rsid w:val="00877AF1"/>
    <w:rsid w:val="00880318"/>
    <w:rsid w:val="00881EF9"/>
    <w:rsid w:val="008967A3"/>
    <w:rsid w:val="00897244"/>
    <w:rsid w:val="008A4859"/>
    <w:rsid w:val="008A7F38"/>
    <w:rsid w:val="008B0EFA"/>
    <w:rsid w:val="008B7934"/>
    <w:rsid w:val="008C5654"/>
    <w:rsid w:val="008C5753"/>
    <w:rsid w:val="008C607D"/>
    <w:rsid w:val="008D1281"/>
    <w:rsid w:val="008D56F5"/>
    <w:rsid w:val="008D619A"/>
    <w:rsid w:val="008E0D7C"/>
    <w:rsid w:val="008F0AF2"/>
    <w:rsid w:val="008F0FF2"/>
    <w:rsid w:val="008F3E3C"/>
    <w:rsid w:val="008F53BD"/>
    <w:rsid w:val="008F5517"/>
    <w:rsid w:val="00900BA4"/>
    <w:rsid w:val="0090224A"/>
    <w:rsid w:val="0090298F"/>
    <w:rsid w:val="009059CE"/>
    <w:rsid w:val="00912D9E"/>
    <w:rsid w:val="00913A67"/>
    <w:rsid w:val="009169D0"/>
    <w:rsid w:val="00917D33"/>
    <w:rsid w:val="00927D0A"/>
    <w:rsid w:val="00935CF3"/>
    <w:rsid w:val="009370C2"/>
    <w:rsid w:val="009371A7"/>
    <w:rsid w:val="009511CE"/>
    <w:rsid w:val="009515BA"/>
    <w:rsid w:val="009516EF"/>
    <w:rsid w:val="009562CB"/>
    <w:rsid w:val="009613F6"/>
    <w:rsid w:val="00961706"/>
    <w:rsid w:val="009641C7"/>
    <w:rsid w:val="00965BEA"/>
    <w:rsid w:val="00966FC1"/>
    <w:rsid w:val="009709B8"/>
    <w:rsid w:val="0097522F"/>
    <w:rsid w:val="0097550A"/>
    <w:rsid w:val="009764DF"/>
    <w:rsid w:val="00976670"/>
    <w:rsid w:val="0098793D"/>
    <w:rsid w:val="009A1322"/>
    <w:rsid w:val="009A1E0F"/>
    <w:rsid w:val="009A2994"/>
    <w:rsid w:val="009A5DBE"/>
    <w:rsid w:val="009A77CA"/>
    <w:rsid w:val="009B0F0C"/>
    <w:rsid w:val="009B6585"/>
    <w:rsid w:val="009C080D"/>
    <w:rsid w:val="009C27CC"/>
    <w:rsid w:val="009C33BE"/>
    <w:rsid w:val="009C3C1B"/>
    <w:rsid w:val="009D18F3"/>
    <w:rsid w:val="009D424D"/>
    <w:rsid w:val="009E2294"/>
    <w:rsid w:val="009E368B"/>
    <w:rsid w:val="009E4577"/>
    <w:rsid w:val="009F4A1C"/>
    <w:rsid w:val="009F713D"/>
    <w:rsid w:val="00A06EBA"/>
    <w:rsid w:val="00A07DCA"/>
    <w:rsid w:val="00A111C9"/>
    <w:rsid w:val="00A15095"/>
    <w:rsid w:val="00A31E7F"/>
    <w:rsid w:val="00A344F1"/>
    <w:rsid w:val="00A35D03"/>
    <w:rsid w:val="00A36C3D"/>
    <w:rsid w:val="00A37FCA"/>
    <w:rsid w:val="00A438FD"/>
    <w:rsid w:val="00A44023"/>
    <w:rsid w:val="00A576E7"/>
    <w:rsid w:val="00A611BF"/>
    <w:rsid w:val="00A63622"/>
    <w:rsid w:val="00A65D11"/>
    <w:rsid w:val="00A67DE0"/>
    <w:rsid w:val="00A83490"/>
    <w:rsid w:val="00A92D0A"/>
    <w:rsid w:val="00A93561"/>
    <w:rsid w:val="00A95B9F"/>
    <w:rsid w:val="00AA4B90"/>
    <w:rsid w:val="00AA6685"/>
    <w:rsid w:val="00AA72CC"/>
    <w:rsid w:val="00AB12A4"/>
    <w:rsid w:val="00AB57B1"/>
    <w:rsid w:val="00AC02CD"/>
    <w:rsid w:val="00AC2676"/>
    <w:rsid w:val="00AD7566"/>
    <w:rsid w:val="00AE131B"/>
    <w:rsid w:val="00AE3AE0"/>
    <w:rsid w:val="00AE5E3B"/>
    <w:rsid w:val="00AF4FC3"/>
    <w:rsid w:val="00B00DA7"/>
    <w:rsid w:val="00B10162"/>
    <w:rsid w:val="00B134A5"/>
    <w:rsid w:val="00B158D6"/>
    <w:rsid w:val="00B2753F"/>
    <w:rsid w:val="00B308FF"/>
    <w:rsid w:val="00B310DF"/>
    <w:rsid w:val="00B32B3A"/>
    <w:rsid w:val="00B4661C"/>
    <w:rsid w:val="00B468DF"/>
    <w:rsid w:val="00B47C27"/>
    <w:rsid w:val="00B508EC"/>
    <w:rsid w:val="00B53796"/>
    <w:rsid w:val="00B53B71"/>
    <w:rsid w:val="00B565CC"/>
    <w:rsid w:val="00B6042F"/>
    <w:rsid w:val="00B624AD"/>
    <w:rsid w:val="00B71E84"/>
    <w:rsid w:val="00B71FAE"/>
    <w:rsid w:val="00B819FF"/>
    <w:rsid w:val="00B83BCA"/>
    <w:rsid w:val="00B83C4D"/>
    <w:rsid w:val="00B87938"/>
    <w:rsid w:val="00B94F1C"/>
    <w:rsid w:val="00B972DE"/>
    <w:rsid w:val="00BA1155"/>
    <w:rsid w:val="00BA4143"/>
    <w:rsid w:val="00BA5FED"/>
    <w:rsid w:val="00BC55CF"/>
    <w:rsid w:val="00BD52A2"/>
    <w:rsid w:val="00BE0335"/>
    <w:rsid w:val="00BE0BAD"/>
    <w:rsid w:val="00BE39D2"/>
    <w:rsid w:val="00BF2F19"/>
    <w:rsid w:val="00BF4FC9"/>
    <w:rsid w:val="00BF6406"/>
    <w:rsid w:val="00BF794D"/>
    <w:rsid w:val="00C035DD"/>
    <w:rsid w:val="00C06486"/>
    <w:rsid w:val="00C0786B"/>
    <w:rsid w:val="00C173B3"/>
    <w:rsid w:val="00C2166A"/>
    <w:rsid w:val="00C26888"/>
    <w:rsid w:val="00C3255D"/>
    <w:rsid w:val="00C32C50"/>
    <w:rsid w:val="00C409E2"/>
    <w:rsid w:val="00C43AB4"/>
    <w:rsid w:val="00C520FC"/>
    <w:rsid w:val="00C608E8"/>
    <w:rsid w:val="00C609FE"/>
    <w:rsid w:val="00C65C02"/>
    <w:rsid w:val="00C71C22"/>
    <w:rsid w:val="00C801B4"/>
    <w:rsid w:val="00C824B0"/>
    <w:rsid w:val="00C91B93"/>
    <w:rsid w:val="00C91FCD"/>
    <w:rsid w:val="00CA20E1"/>
    <w:rsid w:val="00CB4CA4"/>
    <w:rsid w:val="00CD03E1"/>
    <w:rsid w:val="00CD5A96"/>
    <w:rsid w:val="00CD63BB"/>
    <w:rsid w:val="00CE7484"/>
    <w:rsid w:val="00CF0693"/>
    <w:rsid w:val="00CF0C78"/>
    <w:rsid w:val="00CF1E72"/>
    <w:rsid w:val="00CF1EB4"/>
    <w:rsid w:val="00CF559D"/>
    <w:rsid w:val="00CF73A5"/>
    <w:rsid w:val="00D002CF"/>
    <w:rsid w:val="00D05FF0"/>
    <w:rsid w:val="00D06C8F"/>
    <w:rsid w:val="00D105F1"/>
    <w:rsid w:val="00D11F26"/>
    <w:rsid w:val="00D24C96"/>
    <w:rsid w:val="00D31E25"/>
    <w:rsid w:val="00D34486"/>
    <w:rsid w:val="00D53810"/>
    <w:rsid w:val="00D562DA"/>
    <w:rsid w:val="00D5659A"/>
    <w:rsid w:val="00D638BA"/>
    <w:rsid w:val="00D66D55"/>
    <w:rsid w:val="00D772E9"/>
    <w:rsid w:val="00D838EB"/>
    <w:rsid w:val="00D86C97"/>
    <w:rsid w:val="00D92655"/>
    <w:rsid w:val="00D9308D"/>
    <w:rsid w:val="00D9310A"/>
    <w:rsid w:val="00DA1AB7"/>
    <w:rsid w:val="00DA3101"/>
    <w:rsid w:val="00DA3867"/>
    <w:rsid w:val="00DA5941"/>
    <w:rsid w:val="00DC0B5F"/>
    <w:rsid w:val="00DC64F4"/>
    <w:rsid w:val="00DD3E4D"/>
    <w:rsid w:val="00DD5053"/>
    <w:rsid w:val="00DD7A36"/>
    <w:rsid w:val="00DE3F63"/>
    <w:rsid w:val="00DE4035"/>
    <w:rsid w:val="00DF1217"/>
    <w:rsid w:val="00DF3E5B"/>
    <w:rsid w:val="00DF7942"/>
    <w:rsid w:val="00E113D8"/>
    <w:rsid w:val="00E15FD3"/>
    <w:rsid w:val="00E16EAA"/>
    <w:rsid w:val="00E179AD"/>
    <w:rsid w:val="00E23C47"/>
    <w:rsid w:val="00E2418A"/>
    <w:rsid w:val="00E33BD3"/>
    <w:rsid w:val="00E42A54"/>
    <w:rsid w:val="00E4365A"/>
    <w:rsid w:val="00E448AC"/>
    <w:rsid w:val="00E648BB"/>
    <w:rsid w:val="00E65226"/>
    <w:rsid w:val="00E66D08"/>
    <w:rsid w:val="00E710EE"/>
    <w:rsid w:val="00E7369A"/>
    <w:rsid w:val="00E9400E"/>
    <w:rsid w:val="00EB369F"/>
    <w:rsid w:val="00EC1F23"/>
    <w:rsid w:val="00ED7DC2"/>
    <w:rsid w:val="00EE5546"/>
    <w:rsid w:val="00EF40E5"/>
    <w:rsid w:val="00EF717E"/>
    <w:rsid w:val="00F03DD8"/>
    <w:rsid w:val="00F14EBB"/>
    <w:rsid w:val="00F2303E"/>
    <w:rsid w:val="00F2476B"/>
    <w:rsid w:val="00F25309"/>
    <w:rsid w:val="00F25318"/>
    <w:rsid w:val="00F25D04"/>
    <w:rsid w:val="00F2734F"/>
    <w:rsid w:val="00F35F18"/>
    <w:rsid w:val="00F56CE8"/>
    <w:rsid w:val="00F603C9"/>
    <w:rsid w:val="00F60EBE"/>
    <w:rsid w:val="00F66A40"/>
    <w:rsid w:val="00F66B85"/>
    <w:rsid w:val="00F764D8"/>
    <w:rsid w:val="00F77639"/>
    <w:rsid w:val="00F80784"/>
    <w:rsid w:val="00F81C3A"/>
    <w:rsid w:val="00F87FDD"/>
    <w:rsid w:val="00F9680E"/>
    <w:rsid w:val="00FA7D5E"/>
    <w:rsid w:val="00FB32A4"/>
    <w:rsid w:val="00FB4910"/>
    <w:rsid w:val="00FB6DA5"/>
    <w:rsid w:val="00FC1A5B"/>
    <w:rsid w:val="00FC2CB3"/>
    <w:rsid w:val="00FD17E5"/>
    <w:rsid w:val="00FD20C6"/>
    <w:rsid w:val="00FD591B"/>
    <w:rsid w:val="00FE6AE1"/>
    <w:rsid w:val="00FF1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7F008"/>
  <w15:docId w15:val="{F3F47D97-C7B6-4CBC-AC0C-52E349F5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00E"/>
    <w:pPr>
      <w:spacing w:after="240"/>
    </w:pPr>
    <w:rPr>
      <w:rFonts w:ascii="Times New Roman" w:hAnsi="Times New Roman"/>
      <w:sz w:val="24"/>
      <w:szCs w:val="22"/>
    </w:rPr>
  </w:style>
  <w:style w:type="paragraph" w:styleId="Heading1">
    <w:name w:val="heading 1"/>
    <w:basedOn w:val="Normal"/>
    <w:next w:val="BodyText"/>
    <w:link w:val="Heading1Char"/>
    <w:uiPriority w:val="9"/>
    <w:qFormat/>
    <w:rsid w:val="00C035DD"/>
    <w:pPr>
      <w:keepNext/>
      <w:spacing w:before="240"/>
      <w:outlineLvl w:val="0"/>
    </w:pPr>
    <w:rPr>
      <w:b/>
      <w:szCs w:val="24"/>
    </w:rPr>
  </w:style>
  <w:style w:type="paragraph" w:styleId="Heading2">
    <w:name w:val="heading 2"/>
    <w:basedOn w:val="Normal"/>
    <w:next w:val="BodyText"/>
    <w:link w:val="Heading2Char"/>
    <w:uiPriority w:val="9"/>
    <w:unhideWhenUsed/>
    <w:qFormat/>
    <w:rsid w:val="00270BA9"/>
    <w:pPr>
      <w:keepNext/>
      <w:spacing w:before="240"/>
      <w:outlineLvl w:val="1"/>
    </w:pPr>
  </w:style>
  <w:style w:type="paragraph" w:styleId="Heading3">
    <w:name w:val="heading 3"/>
    <w:basedOn w:val="Normal"/>
    <w:next w:val="BodyText"/>
    <w:link w:val="Heading3Char"/>
    <w:uiPriority w:val="9"/>
    <w:unhideWhenUsed/>
    <w:qFormat/>
    <w:rsid w:val="0079566E"/>
    <w:pPr>
      <w:keepNext/>
      <w:outlineLvl w:val="2"/>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2121A"/>
    <w:rPr>
      <w:color w:val="0000FF"/>
      <w:u w:val="single"/>
    </w:rPr>
  </w:style>
  <w:style w:type="paragraph" w:styleId="Footer">
    <w:name w:val="footer"/>
    <w:basedOn w:val="Normal"/>
    <w:link w:val="FooterChar"/>
    <w:uiPriority w:val="99"/>
    <w:unhideWhenUsed/>
    <w:rsid w:val="0062121A"/>
    <w:pPr>
      <w:tabs>
        <w:tab w:val="center" w:pos="4680"/>
        <w:tab w:val="right" w:pos="9360"/>
      </w:tabs>
    </w:pPr>
    <w:rPr>
      <w:sz w:val="20"/>
      <w:szCs w:val="20"/>
      <w:lang w:val="x-none" w:eastAsia="x-none"/>
    </w:rPr>
  </w:style>
  <w:style w:type="character" w:customStyle="1" w:styleId="FooterChar">
    <w:name w:val="Footer Char"/>
    <w:link w:val="Footer"/>
    <w:uiPriority w:val="99"/>
    <w:rsid w:val="0062121A"/>
    <w:rPr>
      <w:rFonts w:ascii="Calibri" w:eastAsia="Calibri" w:hAnsi="Calibri" w:cs="Times New Roman"/>
      <w:lang w:val="x-none" w:eastAsia="x-none"/>
    </w:rPr>
  </w:style>
  <w:style w:type="character" w:styleId="PageNumber">
    <w:name w:val="page number"/>
    <w:rsid w:val="0062121A"/>
    <w:rPr>
      <w:rFonts w:cs="Times New Roman"/>
    </w:rPr>
  </w:style>
  <w:style w:type="paragraph" w:styleId="Title">
    <w:name w:val="Title"/>
    <w:basedOn w:val="Normal"/>
    <w:link w:val="TitleChar"/>
    <w:qFormat/>
    <w:rsid w:val="00C035DD"/>
    <w:pPr>
      <w:spacing w:before="3000" w:after="120"/>
    </w:pPr>
    <w:rPr>
      <w:b/>
      <w:szCs w:val="52"/>
    </w:rPr>
  </w:style>
  <w:style w:type="character" w:customStyle="1" w:styleId="TitleChar">
    <w:name w:val="Title Char"/>
    <w:link w:val="Title"/>
    <w:rsid w:val="00C035DD"/>
    <w:rPr>
      <w:rFonts w:ascii="Times New Roman" w:hAnsi="Times New Roman"/>
      <w:b/>
      <w:sz w:val="24"/>
      <w:szCs w:val="52"/>
    </w:rPr>
  </w:style>
  <w:style w:type="paragraph" w:styleId="BalloonText">
    <w:name w:val="Balloon Text"/>
    <w:basedOn w:val="Normal"/>
    <w:link w:val="BalloonTextChar"/>
    <w:uiPriority w:val="99"/>
    <w:semiHidden/>
    <w:unhideWhenUsed/>
    <w:rsid w:val="0062121A"/>
    <w:rPr>
      <w:rFonts w:ascii="Tahoma" w:hAnsi="Tahoma"/>
      <w:sz w:val="16"/>
      <w:szCs w:val="16"/>
      <w:lang w:val="x-none" w:eastAsia="x-none"/>
    </w:rPr>
  </w:style>
  <w:style w:type="character" w:customStyle="1" w:styleId="BalloonTextChar">
    <w:name w:val="Balloon Text Char"/>
    <w:link w:val="BalloonText"/>
    <w:uiPriority w:val="99"/>
    <w:semiHidden/>
    <w:rsid w:val="0062121A"/>
    <w:rPr>
      <w:rFonts w:ascii="Tahoma" w:eastAsia="Calibri" w:hAnsi="Tahoma" w:cs="Tahoma"/>
      <w:sz w:val="16"/>
      <w:szCs w:val="16"/>
    </w:rPr>
  </w:style>
  <w:style w:type="paragraph" w:styleId="Header">
    <w:name w:val="header"/>
    <w:basedOn w:val="Normal"/>
    <w:link w:val="HeaderChar"/>
    <w:uiPriority w:val="99"/>
    <w:unhideWhenUsed/>
    <w:rsid w:val="00E113D8"/>
    <w:pPr>
      <w:tabs>
        <w:tab w:val="center" w:pos="4680"/>
        <w:tab w:val="right" w:pos="9360"/>
      </w:tabs>
    </w:pPr>
  </w:style>
  <w:style w:type="character" w:customStyle="1" w:styleId="HeaderChar">
    <w:name w:val="Header Char"/>
    <w:basedOn w:val="DefaultParagraphFont"/>
    <w:link w:val="Header"/>
    <w:uiPriority w:val="99"/>
    <w:rsid w:val="00E113D8"/>
    <w:rPr>
      <w:sz w:val="22"/>
      <w:szCs w:val="22"/>
    </w:rPr>
  </w:style>
  <w:style w:type="paragraph" w:styleId="Subtitle">
    <w:name w:val="Subtitle"/>
    <w:basedOn w:val="Normal"/>
    <w:next w:val="Normal"/>
    <w:link w:val="SubtitleChar"/>
    <w:uiPriority w:val="11"/>
    <w:qFormat/>
    <w:rsid w:val="00C91FCD"/>
    <w:rPr>
      <w:rFonts w:ascii="Arial Narrow" w:hAnsi="Arial Narrow"/>
      <w:sz w:val="28"/>
    </w:rPr>
  </w:style>
  <w:style w:type="character" w:customStyle="1" w:styleId="SubtitleChar">
    <w:name w:val="Subtitle Char"/>
    <w:basedOn w:val="DefaultParagraphFont"/>
    <w:link w:val="Subtitle"/>
    <w:uiPriority w:val="11"/>
    <w:rsid w:val="00C91FCD"/>
    <w:rPr>
      <w:rFonts w:ascii="Arial Narrow" w:hAnsi="Arial Narrow"/>
      <w:sz w:val="28"/>
      <w:szCs w:val="22"/>
    </w:rPr>
  </w:style>
  <w:style w:type="character" w:customStyle="1" w:styleId="Heading1Char">
    <w:name w:val="Heading 1 Char"/>
    <w:basedOn w:val="DefaultParagraphFont"/>
    <w:link w:val="Heading1"/>
    <w:uiPriority w:val="9"/>
    <w:rsid w:val="00C035DD"/>
    <w:rPr>
      <w:rFonts w:ascii="Times New Roman" w:hAnsi="Times New Roman"/>
      <w:b/>
      <w:sz w:val="24"/>
      <w:szCs w:val="24"/>
    </w:rPr>
  </w:style>
  <w:style w:type="character" w:customStyle="1" w:styleId="Heading2Char">
    <w:name w:val="Heading 2 Char"/>
    <w:basedOn w:val="DefaultParagraphFont"/>
    <w:link w:val="Heading2"/>
    <w:uiPriority w:val="9"/>
    <w:rsid w:val="00270BA9"/>
    <w:rPr>
      <w:rFonts w:ascii="Times New Roman" w:hAnsi="Times New Roman"/>
      <w:sz w:val="24"/>
      <w:szCs w:val="22"/>
    </w:rPr>
  </w:style>
  <w:style w:type="character" w:customStyle="1" w:styleId="Heading3Char">
    <w:name w:val="Heading 3 Char"/>
    <w:basedOn w:val="DefaultParagraphFont"/>
    <w:link w:val="Heading3"/>
    <w:uiPriority w:val="9"/>
    <w:rsid w:val="0079566E"/>
    <w:rPr>
      <w:rFonts w:ascii="Arial" w:hAnsi="Arial"/>
      <w:i/>
      <w:sz w:val="24"/>
      <w:szCs w:val="22"/>
    </w:rPr>
  </w:style>
  <w:style w:type="paragraph" w:customStyle="1" w:styleId="Authors">
    <w:name w:val="Authors"/>
    <w:basedOn w:val="Subtitle"/>
    <w:link w:val="AuthorsChar"/>
    <w:qFormat/>
    <w:rsid w:val="00C035DD"/>
    <w:pPr>
      <w:spacing w:before="480"/>
    </w:pPr>
    <w:rPr>
      <w:rFonts w:ascii="Times New Roman" w:hAnsi="Times New Roman" w:cs="Arial"/>
      <w:sz w:val="24"/>
    </w:rPr>
  </w:style>
  <w:style w:type="paragraph" w:customStyle="1" w:styleId="USDOC">
    <w:name w:val="US DOC"/>
    <w:basedOn w:val="Normal"/>
    <w:link w:val="USDOCChar"/>
    <w:qFormat/>
    <w:rsid w:val="00481D94"/>
    <w:pPr>
      <w:spacing w:after="0"/>
    </w:pPr>
    <w:rPr>
      <w:rFonts w:ascii="Arial Narrow" w:hAnsi="Arial Narrow"/>
      <w:b/>
    </w:rPr>
  </w:style>
  <w:style w:type="character" w:customStyle="1" w:styleId="AuthorsChar">
    <w:name w:val="Authors Char"/>
    <w:basedOn w:val="SubtitleChar"/>
    <w:link w:val="Authors"/>
    <w:rsid w:val="00C035DD"/>
    <w:rPr>
      <w:rFonts w:ascii="Times New Roman" w:hAnsi="Times New Roman" w:cs="Arial"/>
      <w:sz w:val="24"/>
      <w:szCs w:val="22"/>
    </w:rPr>
  </w:style>
  <w:style w:type="paragraph" w:customStyle="1" w:styleId="NMFS">
    <w:name w:val="NMFS"/>
    <w:basedOn w:val="Normal"/>
    <w:link w:val="NMFSChar"/>
    <w:qFormat/>
    <w:rsid w:val="00481D94"/>
    <w:rPr>
      <w:rFonts w:ascii="Arial Narrow" w:hAnsi="Arial Narrow"/>
    </w:rPr>
  </w:style>
  <w:style w:type="character" w:customStyle="1" w:styleId="USDOCChar">
    <w:name w:val="US DOC Char"/>
    <w:basedOn w:val="DefaultParagraphFont"/>
    <w:link w:val="USDOC"/>
    <w:rsid w:val="00481D94"/>
    <w:rPr>
      <w:rFonts w:ascii="Arial Narrow" w:hAnsi="Arial Narrow"/>
      <w:b/>
      <w:sz w:val="24"/>
      <w:szCs w:val="22"/>
    </w:rPr>
  </w:style>
  <w:style w:type="character" w:customStyle="1" w:styleId="NMFSChar">
    <w:name w:val="NMFS Char"/>
    <w:basedOn w:val="DefaultParagraphFont"/>
    <w:link w:val="NMFS"/>
    <w:rsid w:val="00481D94"/>
    <w:rPr>
      <w:rFonts w:ascii="Arial Narrow" w:hAnsi="Arial Narrow"/>
      <w:sz w:val="24"/>
      <w:szCs w:val="22"/>
    </w:rPr>
  </w:style>
  <w:style w:type="paragraph" w:customStyle="1" w:styleId="DOCEmblem">
    <w:name w:val="DOC Emblem"/>
    <w:basedOn w:val="Normal"/>
    <w:link w:val="DOCEmblemChar"/>
    <w:qFormat/>
    <w:rsid w:val="009A1E0F"/>
    <w:pPr>
      <w:spacing w:before="2520"/>
    </w:pPr>
    <w:rPr>
      <w:noProof/>
    </w:rPr>
  </w:style>
  <w:style w:type="paragraph" w:customStyle="1" w:styleId="Affiliations">
    <w:name w:val="Affiliations"/>
    <w:basedOn w:val="Normal"/>
    <w:link w:val="AffiliationsChar"/>
    <w:qFormat/>
    <w:rsid w:val="00C035DD"/>
    <w:pPr>
      <w:spacing w:before="480" w:after="0"/>
      <w:ind w:left="360" w:hanging="360"/>
    </w:pPr>
    <w:rPr>
      <w:rFonts w:cs="Arial"/>
    </w:rPr>
  </w:style>
  <w:style w:type="character" w:customStyle="1" w:styleId="DOCEmblemChar">
    <w:name w:val="DOC Emblem Char"/>
    <w:basedOn w:val="DefaultParagraphFont"/>
    <w:link w:val="DOCEmblem"/>
    <w:rsid w:val="009A1E0F"/>
    <w:rPr>
      <w:rFonts w:ascii="Times New Roman" w:hAnsi="Times New Roman"/>
      <w:noProof/>
      <w:sz w:val="24"/>
      <w:szCs w:val="22"/>
    </w:rPr>
  </w:style>
  <w:style w:type="paragraph" w:customStyle="1" w:styleId="TM">
    <w:name w:val="TM"/>
    <w:basedOn w:val="NMFS"/>
    <w:link w:val="TMChar"/>
    <w:qFormat/>
    <w:rsid w:val="00481D94"/>
    <w:pPr>
      <w:spacing w:before="1440"/>
    </w:pPr>
  </w:style>
  <w:style w:type="character" w:customStyle="1" w:styleId="AffiliationsChar">
    <w:name w:val="Affiliations Char"/>
    <w:basedOn w:val="DefaultParagraphFont"/>
    <w:link w:val="Affiliations"/>
    <w:rsid w:val="00C035DD"/>
    <w:rPr>
      <w:rFonts w:ascii="Times New Roman" w:hAnsi="Times New Roman" w:cs="Arial"/>
      <w:sz w:val="24"/>
      <w:szCs w:val="22"/>
    </w:rPr>
  </w:style>
  <w:style w:type="paragraph" w:customStyle="1" w:styleId="SubheadsTitlePages">
    <w:name w:val="Subheads Title Pages"/>
    <w:basedOn w:val="USDOC"/>
    <w:link w:val="SubheadsTitlePagesChar"/>
    <w:qFormat/>
    <w:rsid w:val="00481D94"/>
    <w:pPr>
      <w:spacing w:after="120"/>
    </w:pPr>
  </w:style>
  <w:style w:type="character" w:customStyle="1" w:styleId="TMChar">
    <w:name w:val="TM Char"/>
    <w:basedOn w:val="NMFSChar"/>
    <w:link w:val="TM"/>
    <w:rsid w:val="00481D94"/>
    <w:rPr>
      <w:rFonts w:ascii="Arial Narrow" w:hAnsi="Arial Narrow"/>
      <w:sz w:val="24"/>
      <w:szCs w:val="22"/>
    </w:rPr>
  </w:style>
  <w:style w:type="paragraph" w:customStyle="1" w:styleId="Literature">
    <w:name w:val="Literature"/>
    <w:basedOn w:val="Normal"/>
    <w:link w:val="LiteratureChar"/>
    <w:qFormat/>
    <w:rsid w:val="008B0EFA"/>
    <w:pPr>
      <w:ind w:left="720" w:hanging="720"/>
    </w:pPr>
  </w:style>
  <w:style w:type="character" w:customStyle="1" w:styleId="SubheadsTitlePagesChar">
    <w:name w:val="Subheads Title Pages Char"/>
    <w:basedOn w:val="USDOCChar"/>
    <w:link w:val="SubheadsTitlePages"/>
    <w:rsid w:val="00481D94"/>
    <w:rPr>
      <w:rFonts w:ascii="Arial Narrow" w:hAnsi="Arial Narrow"/>
      <w:b/>
      <w:sz w:val="24"/>
      <w:szCs w:val="22"/>
    </w:rPr>
  </w:style>
  <w:style w:type="character" w:customStyle="1" w:styleId="LiteratureChar">
    <w:name w:val="Literature Char"/>
    <w:basedOn w:val="DefaultParagraphFont"/>
    <w:link w:val="Literature"/>
    <w:rsid w:val="008B0EFA"/>
    <w:rPr>
      <w:rFonts w:ascii="Minion Pro" w:hAnsi="Minion Pro"/>
      <w:sz w:val="24"/>
      <w:szCs w:val="22"/>
    </w:rPr>
  </w:style>
  <w:style w:type="paragraph" w:styleId="TOC1">
    <w:name w:val="toc 1"/>
    <w:basedOn w:val="Normal"/>
    <w:next w:val="Normal"/>
    <w:autoRedefine/>
    <w:uiPriority w:val="39"/>
    <w:unhideWhenUsed/>
    <w:rsid w:val="00FF10CD"/>
    <w:pPr>
      <w:spacing w:after="100"/>
    </w:pPr>
  </w:style>
  <w:style w:type="paragraph" w:styleId="TOC2">
    <w:name w:val="toc 2"/>
    <w:basedOn w:val="Normal"/>
    <w:next w:val="Normal"/>
    <w:autoRedefine/>
    <w:uiPriority w:val="39"/>
    <w:unhideWhenUsed/>
    <w:rsid w:val="00FF10CD"/>
    <w:pPr>
      <w:spacing w:after="100"/>
      <w:ind w:left="240"/>
    </w:pPr>
  </w:style>
  <w:style w:type="paragraph" w:styleId="TOC3">
    <w:name w:val="toc 3"/>
    <w:basedOn w:val="Normal"/>
    <w:next w:val="Normal"/>
    <w:autoRedefine/>
    <w:uiPriority w:val="39"/>
    <w:unhideWhenUsed/>
    <w:rsid w:val="00FF10CD"/>
    <w:pPr>
      <w:spacing w:after="100"/>
      <w:ind w:left="480"/>
    </w:pPr>
  </w:style>
  <w:style w:type="paragraph" w:styleId="TOCHeading">
    <w:name w:val="TOC Heading"/>
    <w:basedOn w:val="Heading1"/>
    <w:next w:val="Normal"/>
    <w:uiPriority w:val="39"/>
    <w:unhideWhenUsed/>
    <w:qFormat/>
    <w:rsid w:val="00FF10CD"/>
  </w:style>
  <w:style w:type="paragraph" w:styleId="BodyText">
    <w:name w:val="Body Text"/>
    <w:basedOn w:val="Normal"/>
    <w:link w:val="BodyTextChar"/>
    <w:uiPriority w:val="99"/>
    <w:unhideWhenUsed/>
    <w:rsid w:val="00FF10CD"/>
  </w:style>
  <w:style w:type="character" w:customStyle="1" w:styleId="BodyTextChar">
    <w:name w:val="Body Text Char"/>
    <w:basedOn w:val="DefaultParagraphFont"/>
    <w:link w:val="BodyText"/>
    <w:uiPriority w:val="99"/>
    <w:rsid w:val="00FF10CD"/>
    <w:rPr>
      <w:rFonts w:ascii="Minion Pro" w:hAnsi="Minion Pro"/>
      <w:sz w:val="24"/>
      <w:szCs w:val="22"/>
    </w:rPr>
  </w:style>
  <w:style w:type="paragraph" w:styleId="BlockText">
    <w:name w:val="Block Text"/>
    <w:basedOn w:val="Normal"/>
    <w:uiPriority w:val="99"/>
    <w:unhideWhenUsed/>
    <w:rsid w:val="00FF10C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character" w:styleId="IntenseEmphasis">
    <w:name w:val="Intense Emphasis"/>
    <w:uiPriority w:val="21"/>
    <w:qFormat/>
    <w:rsid w:val="00060819"/>
    <w:rPr>
      <w:b/>
      <w:bCs/>
      <w:i/>
      <w:iCs/>
      <w:color w:val="4F81BD"/>
    </w:rPr>
  </w:style>
  <w:style w:type="table" w:styleId="TableGrid">
    <w:name w:val="Table Grid"/>
    <w:basedOn w:val="TableNormal"/>
    <w:uiPriority w:val="59"/>
    <w:rsid w:val="0006081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877AF1"/>
    <w:rPr>
      <w:sz w:val="16"/>
      <w:szCs w:val="16"/>
    </w:rPr>
  </w:style>
  <w:style w:type="paragraph" w:styleId="CommentText">
    <w:name w:val="annotation text"/>
    <w:basedOn w:val="Normal"/>
    <w:link w:val="CommentTextChar"/>
    <w:uiPriority w:val="99"/>
    <w:semiHidden/>
    <w:unhideWhenUsed/>
    <w:rsid w:val="00877AF1"/>
    <w:pPr>
      <w:spacing w:after="200" w:line="276" w:lineRule="auto"/>
    </w:pPr>
    <w:rPr>
      <w:rFonts w:ascii="Calibri" w:hAnsi="Calibri"/>
      <w:sz w:val="20"/>
      <w:szCs w:val="20"/>
    </w:rPr>
  </w:style>
  <w:style w:type="character" w:customStyle="1" w:styleId="CommentTextChar">
    <w:name w:val="Comment Text Char"/>
    <w:basedOn w:val="DefaultParagraphFont"/>
    <w:link w:val="CommentText"/>
    <w:uiPriority w:val="99"/>
    <w:semiHidden/>
    <w:rsid w:val="00877AF1"/>
  </w:style>
  <w:style w:type="character" w:styleId="SubtleEmphasis">
    <w:name w:val="Subtle Emphasis"/>
    <w:uiPriority w:val="19"/>
    <w:qFormat/>
    <w:rsid w:val="00877AF1"/>
    <w:rPr>
      <w:i/>
      <w:iCs/>
      <w:color w:val="808080"/>
    </w:rPr>
  </w:style>
  <w:style w:type="character" w:styleId="Strong">
    <w:name w:val="Strong"/>
    <w:uiPriority w:val="22"/>
    <w:qFormat/>
    <w:rsid w:val="008F5517"/>
    <w:rPr>
      <w:b/>
      <w:bCs/>
    </w:rPr>
  </w:style>
  <w:style w:type="paragraph" w:styleId="NormalWeb">
    <w:name w:val="Normal (Web)"/>
    <w:basedOn w:val="Normal"/>
    <w:uiPriority w:val="99"/>
    <w:unhideWhenUsed/>
    <w:rsid w:val="008F5517"/>
    <w:pPr>
      <w:spacing w:before="100" w:beforeAutospacing="1" w:after="100" w:afterAutospacing="1"/>
    </w:pPr>
    <w:rPr>
      <w:rFonts w:ascii="Times" w:eastAsia="MS Mincho" w:hAnsi="Times"/>
      <w:sz w:val="20"/>
      <w:szCs w:val="20"/>
    </w:rPr>
  </w:style>
  <w:style w:type="paragraph" w:styleId="CommentSubject">
    <w:name w:val="annotation subject"/>
    <w:basedOn w:val="CommentText"/>
    <w:next w:val="CommentText"/>
    <w:link w:val="CommentSubjectChar"/>
    <w:uiPriority w:val="99"/>
    <w:semiHidden/>
    <w:unhideWhenUsed/>
    <w:rsid w:val="00A576E7"/>
    <w:pPr>
      <w:spacing w:after="240" w:line="240" w:lineRule="auto"/>
    </w:pPr>
    <w:rPr>
      <w:rFonts w:ascii="Times New Roman" w:hAnsi="Times New Roman"/>
      <w:b/>
      <w:bCs/>
    </w:rPr>
  </w:style>
  <w:style w:type="character" w:customStyle="1" w:styleId="CommentSubjectChar">
    <w:name w:val="Comment Subject Char"/>
    <w:basedOn w:val="CommentTextChar"/>
    <w:link w:val="CommentSubject"/>
    <w:uiPriority w:val="99"/>
    <w:semiHidden/>
    <w:rsid w:val="00A576E7"/>
    <w:rPr>
      <w:rFonts w:ascii="Times New Roman" w:hAnsi="Times New Roman"/>
      <w:b/>
      <w:bCs/>
    </w:rPr>
  </w:style>
  <w:style w:type="paragraph" w:styleId="Caption">
    <w:name w:val="caption"/>
    <w:basedOn w:val="Normal"/>
    <w:next w:val="Normal"/>
    <w:autoRedefine/>
    <w:uiPriority w:val="35"/>
    <w:unhideWhenUsed/>
    <w:qFormat/>
    <w:rsid w:val="000E02CB"/>
    <w:pPr>
      <w:spacing w:before="480" w:after="200"/>
    </w:pPr>
    <w:rPr>
      <w:iCs/>
      <w:szCs w:val="18"/>
    </w:rPr>
  </w:style>
  <w:style w:type="paragraph" w:customStyle="1" w:styleId="Notes">
    <w:name w:val="Notes"/>
    <w:basedOn w:val="Normal"/>
    <w:link w:val="NotesChar"/>
    <w:qFormat/>
    <w:rsid w:val="00601D42"/>
    <w:pPr>
      <w:spacing w:before="120" w:after="120"/>
    </w:pPr>
    <w:rPr>
      <w:sz w:val="22"/>
      <w:szCs w:val="24"/>
    </w:rPr>
  </w:style>
  <w:style w:type="table" w:customStyle="1" w:styleId="PlainTable11">
    <w:name w:val="Plain Table 11"/>
    <w:basedOn w:val="TableNormal"/>
    <w:uiPriority w:val="41"/>
    <w:rsid w:val="008306A5"/>
    <w:pPr>
      <w:keepNext/>
      <w:keepLines/>
      <w:spacing w:before="100" w:beforeAutospacing="1" w:after="100" w:afterAutospacing="1"/>
      <w:jc w:val="right"/>
    </w:pPr>
    <w:rPr>
      <w:rFonts w:ascii="Arial" w:hAnsi="Arial"/>
    </w:rPr>
    <w:tblPr>
      <w:tblBorders>
        <w:top w:val="single" w:sz="4" w:space="0" w:color="auto"/>
        <w:bottom w:val="single" w:sz="4" w:space="0" w:color="auto"/>
      </w:tblBorders>
      <w:tblCellMar>
        <w:left w:w="115" w:type="dxa"/>
        <w:right w:w="115" w:type="dxa"/>
      </w:tblCellMar>
    </w:tblPr>
    <w:tcPr>
      <w:shd w:val="clear" w:color="auto" w:fill="auto"/>
      <w:vAlign w:val="center"/>
    </w:tcPr>
    <w:tblStylePr w:type="firstRow">
      <w:pPr>
        <w:wordWrap/>
        <w:spacing w:beforeLines="0" w:before="100" w:beforeAutospacing="1" w:afterLines="0" w:after="100" w:afterAutospacing="1"/>
        <w:jc w:val="center"/>
      </w:pPr>
      <w:rPr>
        <w:rFonts w:ascii="Arial" w:hAnsi="Arial"/>
        <w:b/>
        <w:bCs/>
        <w:sz w:val="20"/>
      </w:rPr>
      <w:tblPr/>
      <w:tcPr>
        <w:tcBorders>
          <w:top w:val="single" w:sz="4" w:space="0" w:color="auto"/>
          <w:bottom w:val="single" w:sz="4" w:space="0" w:color="auto"/>
        </w:tcBorders>
        <w:vAlign w:val="bottom"/>
      </w:tcPr>
    </w:tblStylePr>
    <w:tblStylePr w:type="lastRow">
      <w:rPr>
        <w:rFonts w:ascii="Arial" w:hAnsi="Arial"/>
        <w:b/>
        <w:bCs/>
        <w:i w:val="0"/>
        <w:sz w:val="20"/>
      </w:rPr>
      <w:tblPr/>
      <w:tcPr>
        <w:tcBorders>
          <w:top w:val="nil"/>
          <w:left w:val="nil"/>
          <w:bottom w:val="single" w:sz="4" w:space="0" w:color="auto"/>
          <w:right w:val="nil"/>
          <w:insideH w:val="nil"/>
          <w:insideV w:val="nil"/>
        </w:tcBorders>
        <w:shd w:val="clear" w:color="auto" w:fill="auto"/>
      </w:tcPr>
    </w:tblStylePr>
    <w:tblStylePr w:type="firstCol">
      <w:pPr>
        <w:jc w:val="left"/>
      </w:pPr>
      <w:rPr>
        <w:rFonts w:ascii="Arial" w:hAnsi="Arial"/>
        <w:b w:val="0"/>
        <w:bCs/>
        <w:sz w:val="20"/>
      </w:rPr>
    </w:tblStylePr>
    <w:tblStylePr w:type="lastCol">
      <w:rPr>
        <w:rFonts w:ascii="Arial" w:hAnsi="Arial"/>
        <w:b/>
        <w:bCs/>
        <w:sz w:val="20"/>
      </w:rPr>
    </w:tblStylePr>
  </w:style>
  <w:style w:type="character" w:customStyle="1" w:styleId="NotesChar">
    <w:name w:val="Notes Char"/>
    <w:basedOn w:val="DefaultParagraphFont"/>
    <w:link w:val="Notes"/>
    <w:rsid w:val="00601D42"/>
    <w:rPr>
      <w:rFonts w:ascii="Times New Roman" w:hAnsi="Times New Roman"/>
      <w:sz w:val="22"/>
      <w:szCs w:val="24"/>
    </w:rPr>
  </w:style>
  <w:style w:type="table" w:customStyle="1" w:styleId="PlainTable12">
    <w:name w:val="Plain Table 12"/>
    <w:aliases w:val="Tech Memo Table"/>
    <w:basedOn w:val="TableNormal"/>
    <w:uiPriority w:val="41"/>
    <w:rsid w:val="003331D3"/>
    <w:pPr>
      <w:jc w:val="right"/>
    </w:pPr>
    <w:rPr>
      <w:rFonts w:ascii="Times New Roman" w:hAnsi="Times New Roman"/>
      <w:sz w:val="24"/>
    </w:rPr>
    <w:tblPr>
      <w:tblStyleRowBandSize w:val="1"/>
      <w:tblStyleColBandSize w:val="1"/>
      <w:jc w:val="center"/>
      <w:tblBorders>
        <w:top w:val="single" w:sz="4" w:space="0" w:color="auto"/>
        <w:bottom w:val="single" w:sz="4" w:space="0" w:color="auto"/>
      </w:tblBorders>
    </w:tblPr>
    <w:trPr>
      <w:jc w:val="center"/>
    </w:trPr>
    <w:tcPr>
      <w:vAlign w:val="center"/>
    </w:tcPr>
    <w:tblStylePr w:type="firstRow">
      <w:pPr>
        <w:jc w:val="center"/>
      </w:pPr>
      <w:rPr>
        <w:rFonts w:ascii="Times New Roman" w:hAnsi="Times New Roman"/>
        <w:b/>
        <w:bCs/>
        <w:sz w:val="24"/>
      </w:rPr>
      <w:tblPr/>
      <w:tcPr>
        <w:tcBorders>
          <w:top w:val="single" w:sz="4" w:space="0" w:color="auto"/>
          <w:left w:val="nil"/>
          <w:bottom w:val="single" w:sz="4" w:space="0" w:color="auto"/>
          <w:right w:val="nil"/>
          <w:insideH w:val="nil"/>
          <w:insideV w:val="nil"/>
        </w:tcBorders>
        <w:vAlign w:val="bottom"/>
      </w:tcPr>
    </w:tblStylePr>
    <w:tblStylePr w:type="lastRow">
      <w:rPr>
        <w:rFonts w:ascii="Times New Roman" w:hAnsi="Times New Roman"/>
        <w:b/>
        <w:bCs/>
        <w:sz w:val="24"/>
      </w:rPr>
      <w:tblPr/>
      <w:tcPr>
        <w:tcBorders>
          <w:top w:val="nil"/>
          <w:bottom w:val="single" w:sz="4" w:space="0" w:color="auto"/>
        </w:tcBorders>
      </w:tcPr>
    </w:tblStylePr>
    <w:tblStylePr w:type="firstCol">
      <w:pPr>
        <w:jc w:val="left"/>
      </w:pPr>
      <w:rPr>
        <w:rFonts w:ascii="Times New Roman" w:hAnsi="Times New Roman"/>
        <w:b w:val="0"/>
        <w:bCs/>
        <w:sz w:val="24"/>
      </w:rPr>
      <w:tblPr/>
      <w:tcPr>
        <w:vAlign w:val="top"/>
      </w:tcPr>
    </w:tblStylePr>
    <w:tblStylePr w:type="lastCol">
      <w:rPr>
        <w:rFonts w:ascii="Times New Roman" w:hAnsi="Times New Roman"/>
        <w:b w:val="0"/>
        <w:bCs/>
        <w:sz w:val="24"/>
      </w:rPr>
    </w:tblStylePr>
    <w:tblStylePr w:type="band1Vert">
      <w:rPr>
        <w:rFonts w:ascii="Times New Roman" w:hAnsi="Times New Roman"/>
        <w:sz w:val="24"/>
      </w:rPr>
    </w:tblStylePr>
    <w:tblStylePr w:type="band1Horz">
      <w:rPr>
        <w:rFonts w:ascii="Times New Roman" w:hAnsi="Times New Roman"/>
        <w:sz w:val="24"/>
      </w:rPr>
    </w:tblStylePr>
    <w:tblStylePr w:type="band2Horz">
      <w:rPr>
        <w:rFonts w:ascii="Times New Roman" w:hAnsi="Times New Roman"/>
        <w:sz w:val="24"/>
      </w:rPr>
    </w:tblStylePr>
  </w:style>
  <w:style w:type="paragraph" w:styleId="TableofFigures">
    <w:name w:val="table of figures"/>
    <w:basedOn w:val="Normal"/>
    <w:next w:val="Normal"/>
    <w:link w:val="TableofFiguresChar"/>
    <w:uiPriority w:val="99"/>
    <w:unhideWhenUsed/>
    <w:rsid w:val="002C1F76"/>
    <w:pPr>
      <w:spacing w:after="0"/>
      <w:ind w:left="720" w:hanging="720"/>
    </w:pPr>
  </w:style>
  <w:style w:type="paragraph" w:customStyle="1" w:styleId="ListofTablesFigures">
    <w:name w:val="List of Tables/Figures"/>
    <w:basedOn w:val="TableofFigures"/>
    <w:link w:val="ListofTablesFiguresChar"/>
    <w:qFormat/>
    <w:rsid w:val="001B7BF9"/>
    <w:pPr>
      <w:tabs>
        <w:tab w:val="right" w:leader="dot" w:pos="9350"/>
      </w:tabs>
    </w:pPr>
    <w:rPr>
      <w:noProof/>
    </w:rPr>
  </w:style>
  <w:style w:type="character" w:customStyle="1" w:styleId="TableofFiguresChar">
    <w:name w:val="Table of Figures Char"/>
    <w:basedOn w:val="DefaultParagraphFont"/>
    <w:link w:val="TableofFigures"/>
    <w:uiPriority w:val="99"/>
    <w:rsid w:val="001B7BF9"/>
    <w:rPr>
      <w:rFonts w:ascii="Times New Roman" w:hAnsi="Times New Roman"/>
      <w:sz w:val="24"/>
      <w:szCs w:val="22"/>
    </w:rPr>
  </w:style>
  <w:style w:type="character" w:customStyle="1" w:styleId="ListofTablesFiguresChar">
    <w:name w:val="List of Tables/Figures Char"/>
    <w:basedOn w:val="TableofFiguresChar"/>
    <w:link w:val="ListofTablesFigures"/>
    <w:rsid w:val="001B7BF9"/>
    <w:rPr>
      <w:rFonts w:ascii="Times New Roman" w:hAnsi="Times New Roman"/>
      <w:noProof/>
      <w:sz w:val="24"/>
      <w:szCs w:val="22"/>
    </w:rPr>
  </w:style>
  <w:style w:type="paragraph" w:styleId="Revision">
    <w:name w:val="Revision"/>
    <w:hidden/>
    <w:uiPriority w:val="99"/>
    <w:semiHidden/>
    <w:rsid w:val="00A31E7F"/>
    <w:rPr>
      <w:rFonts w:ascii="Times New Roman" w:hAnsi="Times New Roman"/>
      <w:sz w:val="24"/>
      <w:szCs w:val="22"/>
    </w:rPr>
  </w:style>
  <w:style w:type="paragraph" w:styleId="NoSpacing">
    <w:name w:val="No Spacing"/>
    <w:uiPriority w:val="1"/>
    <w:qFormat/>
    <w:rsid w:val="008679FF"/>
    <w:rPr>
      <w:rFonts w:ascii="Times New Roman" w:hAnsi="Times New Roman"/>
      <w:sz w:val="24"/>
      <w:szCs w:val="22"/>
    </w:rPr>
  </w:style>
  <w:style w:type="paragraph" w:styleId="HTMLPreformatted">
    <w:name w:val="HTML Preformatted"/>
    <w:basedOn w:val="Normal"/>
    <w:link w:val="HTMLPreformattedChar"/>
    <w:uiPriority w:val="99"/>
    <w:semiHidden/>
    <w:unhideWhenUsed/>
    <w:rsid w:val="0077503F"/>
    <w:pPr>
      <w:spacing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7503F"/>
    <w:rPr>
      <w:rFonts w:ascii="Consolas" w:hAnsi="Consolas" w:cs="Consolas"/>
    </w:rPr>
  </w:style>
  <w:style w:type="paragraph" w:styleId="FootnoteText">
    <w:name w:val="footnote text"/>
    <w:basedOn w:val="Normal"/>
    <w:link w:val="FootnoteTextChar"/>
    <w:uiPriority w:val="99"/>
    <w:semiHidden/>
    <w:unhideWhenUsed/>
    <w:rsid w:val="00345600"/>
    <w:pPr>
      <w:spacing w:after="0"/>
    </w:pPr>
    <w:rPr>
      <w:sz w:val="20"/>
      <w:szCs w:val="20"/>
    </w:rPr>
  </w:style>
  <w:style w:type="character" w:customStyle="1" w:styleId="FootnoteTextChar">
    <w:name w:val="Footnote Text Char"/>
    <w:basedOn w:val="DefaultParagraphFont"/>
    <w:link w:val="FootnoteText"/>
    <w:uiPriority w:val="99"/>
    <w:semiHidden/>
    <w:rsid w:val="00345600"/>
    <w:rPr>
      <w:rFonts w:ascii="Times New Roman" w:hAnsi="Times New Roman"/>
    </w:rPr>
  </w:style>
  <w:style w:type="character" w:styleId="FootnoteReference">
    <w:name w:val="footnote reference"/>
    <w:basedOn w:val="DefaultParagraphFont"/>
    <w:uiPriority w:val="99"/>
    <w:semiHidden/>
    <w:unhideWhenUsed/>
    <w:rsid w:val="003456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555958">
      <w:bodyDiv w:val="1"/>
      <w:marLeft w:val="0"/>
      <w:marRight w:val="0"/>
      <w:marTop w:val="0"/>
      <w:marBottom w:val="0"/>
      <w:divBdr>
        <w:top w:val="none" w:sz="0" w:space="0" w:color="auto"/>
        <w:left w:val="none" w:sz="0" w:space="0" w:color="auto"/>
        <w:bottom w:val="none" w:sz="0" w:space="0" w:color="auto"/>
        <w:right w:val="none" w:sz="0" w:space="0" w:color="auto"/>
      </w:divBdr>
    </w:div>
    <w:div w:id="989746985">
      <w:bodyDiv w:val="1"/>
      <w:marLeft w:val="0"/>
      <w:marRight w:val="0"/>
      <w:marTop w:val="0"/>
      <w:marBottom w:val="0"/>
      <w:divBdr>
        <w:top w:val="none" w:sz="0" w:space="0" w:color="auto"/>
        <w:left w:val="none" w:sz="0" w:space="0" w:color="auto"/>
        <w:bottom w:val="none" w:sz="0" w:space="0" w:color="auto"/>
        <w:right w:val="none" w:sz="0" w:space="0" w:color="auto"/>
      </w:divBdr>
    </w:div>
    <w:div w:id="1008409820">
      <w:bodyDiv w:val="1"/>
      <w:marLeft w:val="0"/>
      <w:marRight w:val="0"/>
      <w:marTop w:val="0"/>
      <w:marBottom w:val="0"/>
      <w:divBdr>
        <w:top w:val="none" w:sz="0" w:space="0" w:color="auto"/>
        <w:left w:val="none" w:sz="0" w:space="0" w:color="auto"/>
        <w:bottom w:val="none" w:sz="0" w:space="0" w:color="auto"/>
        <w:right w:val="none" w:sz="0" w:space="0" w:color="auto"/>
      </w:divBdr>
    </w:div>
    <w:div w:id="1219635331">
      <w:bodyDiv w:val="1"/>
      <w:marLeft w:val="0"/>
      <w:marRight w:val="0"/>
      <w:marTop w:val="0"/>
      <w:marBottom w:val="0"/>
      <w:divBdr>
        <w:top w:val="none" w:sz="0" w:space="0" w:color="auto"/>
        <w:left w:val="none" w:sz="0" w:space="0" w:color="auto"/>
        <w:bottom w:val="none" w:sz="0" w:space="0" w:color="auto"/>
        <w:right w:val="none" w:sz="0" w:space="0" w:color="auto"/>
      </w:divBdr>
    </w:div>
    <w:div w:id="1307316976">
      <w:bodyDiv w:val="1"/>
      <w:marLeft w:val="0"/>
      <w:marRight w:val="0"/>
      <w:marTop w:val="0"/>
      <w:marBottom w:val="0"/>
      <w:divBdr>
        <w:top w:val="none" w:sz="0" w:space="0" w:color="auto"/>
        <w:left w:val="none" w:sz="0" w:space="0" w:color="auto"/>
        <w:bottom w:val="none" w:sz="0" w:space="0" w:color="auto"/>
        <w:right w:val="none" w:sz="0" w:space="0" w:color="auto"/>
      </w:divBdr>
    </w:div>
    <w:div w:id="1323238236">
      <w:bodyDiv w:val="1"/>
      <w:marLeft w:val="0"/>
      <w:marRight w:val="0"/>
      <w:marTop w:val="0"/>
      <w:marBottom w:val="0"/>
      <w:divBdr>
        <w:top w:val="none" w:sz="0" w:space="0" w:color="auto"/>
        <w:left w:val="none" w:sz="0" w:space="0" w:color="auto"/>
        <w:bottom w:val="none" w:sz="0" w:space="0" w:color="auto"/>
        <w:right w:val="none" w:sz="0" w:space="0" w:color="auto"/>
      </w:divBdr>
    </w:div>
    <w:div w:id="1383092546">
      <w:bodyDiv w:val="1"/>
      <w:marLeft w:val="0"/>
      <w:marRight w:val="0"/>
      <w:marTop w:val="0"/>
      <w:marBottom w:val="0"/>
      <w:divBdr>
        <w:top w:val="none" w:sz="0" w:space="0" w:color="auto"/>
        <w:left w:val="none" w:sz="0" w:space="0" w:color="auto"/>
        <w:bottom w:val="none" w:sz="0" w:space="0" w:color="auto"/>
        <w:right w:val="none" w:sz="0" w:space="0" w:color="auto"/>
      </w:divBdr>
    </w:div>
    <w:div w:id="200693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dc.noaa.gov/teleconnections/"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a.usno.navy.mil/data/docs/MoonFraction.php" TargetMode="External"/><Relationship Id="rId29" Type="http://schemas.openxmlformats.org/officeDocument/2006/relationships/image" Target="media/image13.png"/><Relationship Id="rId11" Type="http://schemas.openxmlformats.org/officeDocument/2006/relationships/hyperlink" Target="https://github.com/rvlenth/emmeans"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5" Type="http://schemas.openxmlformats.org/officeDocument/2006/relationships/webSettings" Target="webSettings.xml"/><Relationship Id="rId61" Type="http://schemas.openxmlformats.org/officeDocument/2006/relationships/image" Target="media/image45.png"/><Relationship Id="rId19" Type="http://schemas.openxmlformats.org/officeDocument/2006/relationships/image" Target="media/image3.png"/><Relationship Id="rId14" Type="http://schemas.openxmlformats.org/officeDocument/2006/relationships/hyperlink" Target="http://pifsc-oceanwatch.irc.noaa.gov/"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8" Type="http://schemas.openxmlformats.org/officeDocument/2006/relationships/footer" Target="footer1.xml"/><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hyperlink" Target="http://www.pifsc.noaa.gov/fmb/reports.php"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project.org/"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10" Type="http://schemas.openxmlformats.org/officeDocument/2006/relationships/footer" Target="footer3.xm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le.sculley\Documents\Custom%20Office%20Templates\WorkingPaperTemplate508Co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2A3A4-3245-473B-A767-B81D41C08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WorkingPaperTemplate508Comp</Template>
  <TotalTime>0</TotalTime>
  <Pages>34</Pages>
  <Words>6905</Words>
  <Characters>39361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46174</CharactersWithSpaces>
  <SharedDoc>false</SharedDoc>
  <HLinks>
    <vt:vector size="6" baseType="variant">
      <vt:variant>
        <vt:i4>5570629</vt:i4>
      </vt:variant>
      <vt:variant>
        <vt:i4>0</vt:i4>
      </vt:variant>
      <vt:variant>
        <vt:i4>0</vt:i4>
      </vt:variant>
      <vt:variant>
        <vt:i4>5</vt:i4>
      </vt:variant>
      <vt:variant>
        <vt:lpwstr>http://spo.nmfs.noaa.gov/tm/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Sculley</dc:creator>
  <cp:lastModifiedBy>Michelle Sculley</cp:lastModifiedBy>
  <cp:revision>2</cp:revision>
  <cp:lastPrinted>2018-04-19T17:38:00Z</cp:lastPrinted>
  <dcterms:created xsi:type="dcterms:W3CDTF">2022-08-26T00:24:00Z</dcterms:created>
  <dcterms:modified xsi:type="dcterms:W3CDTF">2022-08-26T00:24:00Z</dcterms:modified>
</cp:coreProperties>
</file>