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1F1F"/>
          <w:sz w:val="36"/>
          <w:szCs w:val="36"/>
        </w:rPr>
        <w:t xml:space="preserve">Award Hub — IT / Identity Team Requirements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after="60" w:line="288" w:lineRule="auto"/>
      </w:pPr>
      <w:r>
        <w:rPr>
          <w:b/>
          <w:bCs/>
        </w:rPr>
        <w:t xml:space="preserve">Prepared for: </w:t>
      </w:r>
      <w:r>
        <w:rPr>
          <w:b w:val="false"/>
          <w:bCs w:val="false"/>
        </w:rPr>
        <w:t xml:space="preserve">Publicis IT / Identity &amp; Access Management team</w:t>
      </w:r>
    </w:p>
    <w:p>
      <w:pPr>
        <w:spacing w:after="60" w:line="288" w:lineRule="auto"/>
      </w:pPr>
      <w:r>
        <w:rPr>
          <w:b/>
          <w:bCs/>
        </w:rPr>
        <w:t xml:space="preserve">Application: </w:t>
      </w:r>
      <w:r>
        <w:rPr>
          <w:b w:val="false"/>
          <w:bCs w:val="false"/>
        </w:rPr>
        <w:t xml:space="preserve">Award Hub — an internal web app that shows award-show events from the shared awards@publicisgroupe.com mailbox calendar and lets staff add those events to their own Outlook calendar, kept automatically in sync.</w:t>
      </w:r>
    </w:p>
    <w:p>
      <w:pPr>
        <w:spacing w:after="160" w:line="288" w:lineRule="auto"/>
      </w:pPr>
      <w:r>
        <w:rPr>
          <w:b/>
          <w:bCs/>
        </w:rPr>
        <w:t xml:space="preserve">Date: </w:t>
      </w:r>
      <w:r>
        <w:rPr>
          <w:b w:val="false"/>
          <w:bCs w:val="false"/>
        </w:rPr>
        <w:t xml:space="preserve">2026-06-29 (revised — hosting now host-agnostic)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8" w:lineRule="auto"/>
            </w:pPr>
            <w:r>
              <w:rPr>
                <w:b/>
                <w:bCs/>
                <w:color w:val="1F4E79"/>
              </w:rPr>
              <w:t xml:space="preserve">At a glance — the one main ask</w:t>
            </w:r>
          </w:p>
          <w:p>
            <w:pPr>
              <w:spacing w:after="0" w:line="288" w:lineRule="auto"/>
            </w:pPr>
            <w:r>
              <w:rPr>
                <w:b w:val="false"/>
                <w:bCs w:val="false"/>
              </w:rPr>
              <w:t xml:space="preserve">Register an app in Entra ID and grant admin consent for the Microsoft Graph </w:t>
            </w:r>
            <w:r>
              <w:rPr>
                <w:b/>
                <w:bCs/>
              </w:rPr>
              <w:t xml:space="preserve">application</w:t>
            </w:r>
            <w:r>
              <w:rPr>
                <w:b w:val="false"/>
                <w:bCs w:val="false"/>
              </w:rPr>
              <w:t xml:space="preserve"> permission </w:t>
            </w: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Calendars.ReadWrite</w:t>
            </w:r>
            <w:r>
              <w:rPr>
                <w:b w:val="false"/>
                <w:bCs w:val="false"/>
              </w:rPr>
              <w:t xml:space="preserve"> (§4a). Everything else in this document scopes, secures, or supports that single grant. If admin consent needs more review time, a smaller </w:t>
            </w:r>
            <w:r>
              <w:rPr>
                <w:b/>
                <w:bCs/>
              </w:rPr>
              <w:t xml:space="preserve">read-only pilot</w:t>
            </w:r>
            <w:r>
              <w:rPr>
                <w:b w:val="false"/>
                <w:bCs w:val="false"/>
              </w:rPr>
              <w:t xml:space="preserve"> can run first with delegated permissions only (§4d).</w:t>
            </w:r>
          </w:p>
        </w:tc>
      </w:tr>
    </w:tbl>
    <w:p>
      <w:pPr>
        <w:spacing w:after="100" w:before="280"/>
      </w:pPr>
      <w:r>
        <w:rPr>
          <w:b/>
          <w:bCs/>
          <w:color w:val="1F4E79"/>
          <w:sz w:val="24"/>
          <w:szCs w:val="24"/>
        </w:rPr>
        <w:t xml:space="preserve">Contents</w:t>
      </w:r>
    </w:p>
    <w:p>
      <w:pPr>
        <w:spacing w:after="40" w:line="288" w:lineRule="auto"/>
        <w:ind w:left="240"/>
      </w:pPr>
      <w:hyperlink w:history="1" w:anchor="sec_1_What_the_application_does_1_minute_summary">
        <w:r>
          <w:rPr>
            <w:rStyle w:val="Hyperlink"/>
            <w:color w:val="1F4E79"/>
          </w:rPr>
          <w:t xml:space="preserve">1. What the application does (1-minute summary)</w:t>
        </w:r>
      </w:hyperlink>
    </w:p>
    <w:p>
      <w:pPr>
        <w:spacing w:after="40" w:line="288" w:lineRule="auto"/>
        <w:ind w:left="240"/>
      </w:pPr>
      <w:hyperlink w:history="1" w:anchor="sec_2_The_ask_checklist_for_IT">
        <w:r>
          <w:rPr>
            <w:rStyle w:val="Hyperlink"/>
            <w:color w:val="1F4E79"/>
          </w:rPr>
          <w:t xml:space="preserve">2. The ask (checklist for IT)</w:t>
        </w:r>
      </w:hyperlink>
    </w:p>
    <w:p>
      <w:pPr>
        <w:spacing w:after="40" w:line="288" w:lineRule="auto"/>
        <w:ind w:left="240"/>
      </w:pPr>
      <w:hyperlink w:history="1" w:anchor="sec_3_Entra_ID_application_registration">
        <w:r>
          <w:rPr>
            <w:rStyle w:val="Hyperlink"/>
            <w:color w:val="1F4E79"/>
          </w:rPr>
          <w:t xml:space="preserve">3. Entra ID application registration</w:t>
        </w:r>
      </w:hyperlink>
    </w:p>
    <w:p>
      <w:pPr>
        <w:spacing w:after="40" w:line="288" w:lineRule="auto"/>
        <w:ind w:left="240"/>
      </w:pPr>
      <w:hyperlink w:history="1" w:anchor="sec_4_Microsoft_Graph_API_permissions">
        <w:r>
          <w:rPr>
            <w:rStyle w:val="Hyperlink"/>
            <w:color w:val="1F4E79"/>
          </w:rPr>
          <w:t xml:space="preserve">4. Microsoft Graph API permissions</w:t>
        </w:r>
      </w:hyperlink>
    </w:p>
    <w:p>
      <w:pPr>
        <w:spacing w:after="40" w:line="288" w:lineRule="auto"/>
        <w:ind w:left="240"/>
      </w:pPr>
      <w:hyperlink w:history="1" w:anchor="sec_5_Authentication_configuration">
        <w:r>
          <w:rPr>
            <w:rStyle w:val="Hyperlink"/>
            <w:color w:val="1F4E79"/>
          </w:rPr>
          <w:t xml:space="preserve">5. Authentication configuration</w:t>
        </w:r>
      </w:hyperlink>
    </w:p>
    <w:p>
      <w:pPr>
        <w:spacing w:after="40" w:line="288" w:lineRule="auto"/>
        <w:ind w:left="240"/>
      </w:pPr>
      <w:hyperlink w:history="1" w:anchor="sec_6_Security_scoping_recommended">
        <w:r>
          <w:rPr>
            <w:rStyle w:val="Hyperlink"/>
            <w:color w:val="1F4E79"/>
          </w:rPr>
          <w:t xml:space="preserve">6. Security scoping (recommended)</w:t>
        </w:r>
      </w:hyperlink>
    </w:p>
    <w:p>
      <w:pPr>
        <w:spacing w:after="40" w:line="288" w:lineRule="auto"/>
        <w:ind w:left="240"/>
      </w:pPr>
      <w:hyperlink w:history="1" w:anchor="sec_7_Networking_requirements">
        <w:r>
          <w:rPr>
            <w:rStyle w:val="Hyperlink"/>
            <w:color w:val="1F4E79"/>
          </w:rPr>
          <w:t xml:space="preserve">7. Networking requirements</w:t>
        </w:r>
      </w:hyperlink>
    </w:p>
    <w:p>
      <w:pPr>
        <w:spacing w:after="40" w:line="288" w:lineRule="auto"/>
        <w:ind w:left="240"/>
      </w:pPr>
      <w:hyperlink w:history="1" w:anchor="sec_8_Hosting_data_handling_informational">
        <w:r>
          <w:rPr>
            <w:rStyle w:val="Hyperlink"/>
            <w:color w:val="1F4E79"/>
          </w:rPr>
          <w:t xml:space="preserve">8. Hosting &amp; data handling (informational)</w:t>
        </w:r>
      </w:hyperlink>
    </w:p>
    <w:p>
      <w:pPr>
        <w:spacing w:after="40" w:line="288" w:lineRule="auto"/>
        <w:ind w:left="240"/>
      </w:pPr>
      <w:hyperlink w:history="1" w:anchor="sec_8a_File_storage_attachments_gallery_downloads">
        <w:r>
          <w:rPr>
            <w:rStyle w:val="Hyperlink"/>
            <w:color w:val="1F4E79"/>
          </w:rPr>
          <w:t xml:space="preserve">8a. File storage &amp; attachments (gallery / downloads)</w:t>
        </w:r>
      </w:hyperlink>
    </w:p>
    <w:p>
      <w:pPr>
        <w:spacing w:after="40" w:line="288" w:lineRule="auto"/>
        <w:ind w:left="240"/>
      </w:pPr>
      <w:hyperlink w:history="1" w:anchor="sec_8b_Governance_gates_typical_for_an_internal_Publicis_app">
        <w:r>
          <w:rPr>
            <w:rStyle w:val="Hyperlink"/>
            <w:color w:val="1F4E79"/>
          </w:rPr>
          <w:t xml:space="preserve">8b. Governance gates (typical for an internal Publicis app)</w:t>
        </w:r>
      </w:hyperlink>
    </w:p>
    <w:p>
      <w:pPr>
        <w:spacing w:after="40" w:line="288" w:lineRule="auto"/>
        <w:ind w:left="240"/>
      </w:pPr>
      <w:hyperlink w:history="1" w:anchor="sec_9_What_IT_returns_to_the_project_team">
        <w:r>
          <w:rPr>
            <w:rStyle w:val="Hyperlink"/>
            <w:color w:val="1F4E79"/>
          </w:rPr>
          <w:t xml:space="preserve">9. What IT returns to the project team</w:t>
        </w:r>
      </w:hyperlink>
    </w:p>
    <w:p>
      <w:pPr>
        <w:spacing w:after="40" w:line="288" w:lineRule="auto"/>
        <w:ind w:left="240"/>
      </w:pPr>
      <w:hyperlink w:history="1" w:anchor="sec_10_Open_questions_for_IT">
        <w:r>
          <w:rPr>
            <w:rStyle w:val="Hyperlink"/>
            <w:color w:val="1F4E79"/>
          </w:rPr>
          <w:t xml:space="preserve">10. Open questions for IT</w:t>
        </w:r>
      </w:hyperlink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pStyle w:val="Heading1"/>
        <w:pageBreakBefore/>
      </w:pPr>
      <w:bookmarkStart w:name="sec_1_What_the_application_does_1_minute_summary" w:id="1"/>
      <w:r>
        <w:t xml:space="preserve">1. What the application does (1-minute summary)</w:t>
      </w:r>
      <w:bookmarkEnd w:id="1"/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 w:val="false"/>
          <w:bCs w:val="false"/>
        </w:rPr>
        <w:t xml:space="preserve">Staff sign in with their Publicis Microsoft 365 account.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 w:val="false"/>
          <w:bCs w:val="false"/>
        </w:rPr>
        <w:t xml:space="preserve">The app displays a calendar of award events sourced from the </w:t>
      </w:r>
      <w:r>
        <w:rPr>
          <w:b/>
          <w:bCs/>
        </w:rPr>
        <w:t xml:space="preserve">awards@publicisgroupe.com</w:t>
      </w:r>
      <w:r>
        <w:rPr>
          <w:b w:val="false"/>
          <w:bCs w:val="false"/>
        </w:rPr>
        <w:t xml:space="preserve"> shared mailbox.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 w:val="false"/>
          <w:bCs w:val="false"/>
        </w:rPr>
        <w:t xml:space="preserve">When a staff member clicks </w:t>
      </w:r>
      <w:r>
        <w:rPr>
          <w:b/>
          <w:bCs/>
        </w:rPr>
        <w:t xml:space="preserve">“Add to my calendar,”</w:t>
      </w:r>
      <w:r>
        <w:rPr>
          <w:b w:val="false"/>
          <w:bCs w:val="false"/>
        </w:rPr>
        <w:t xml:space="preserve"> the app creates a copy of that event in </w:t>
      </w:r>
      <w:r>
        <w:rPr>
          <w:b/>
          <w:bCs/>
        </w:rPr>
        <w:t xml:space="preserve">their own</w:t>
      </w:r>
      <w:r>
        <w:rPr>
          <w:b w:val="false"/>
          <w:bCs w:val="false"/>
        </w:rPr>
        <w:t xml:space="preserve"> Outlook calendar.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 w:val="false"/>
          <w:bCs w:val="false"/>
        </w:rPr>
        <w:t xml:space="preserve">A background service watches the awards@ calendar; when the awards team edits or cancels an event, the app automatically updates or removes the copy in every staff member's calendar.</w:t>
      </w:r>
    </w:p>
    <w:p>
      <w:pPr>
        <w:spacing w:after="200" w:before="80" w:line="288" w:lineRule="auto"/>
      </w:pPr>
      <w:r>
        <w:rPr>
          <w:b w:val="false"/>
          <w:bCs w:val="false"/>
        </w:rPr>
        <w:t xml:space="preserve">To do this without each user being online, the app uses </w:t>
      </w:r>
      <w:r>
        <w:rPr>
          <w:b/>
          <w:bCs/>
        </w:rPr>
        <w:t xml:space="preserve">application permissions</w:t>
      </w:r>
      <w:r>
        <w:rPr>
          <w:b w:val="false"/>
          <w:bCs w:val="false"/>
        </w:rPr>
        <w:t xml:space="preserve"> (a service identity) granted by admin consent — this is the main ask below.</w:t>
      </w:r>
    </w:p>
    <w:p>
      <w:pPr>
        <w:pStyle w:val="Heading1"/>
      </w:pPr>
      <w:bookmarkStart w:name="sec_2_The_ask_checklist_for_IT" w:id="2"/>
      <w:r>
        <w:t xml:space="preserve">2. The ask (checklist for IT)</w:t>
      </w:r>
      <w:bookmarkEnd w:id="2"/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 xml:space="preserve">Register an application</w:t>
      </w:r>
      <w:r>
        <w:rPr>
          <w:b w:val="false"/>
          <w:bCs w:val="false"/>
        </w:rPr>
        <w:t xml:space="preserve"> in Entra ID (Azure AD), single tenant (Publicis).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 xml:space="preserve">Grant the Microsoft Graph application permission </w:t>
      </w:r>
      <w:r>
        <w:rPr>
          <w:rFonts w:ascii="Courier New" w:cs="Courier New" w:eastAsia="Courier New" w:hAnsi="Courier New"/>
          <w:b/>
          <w:bCs/>
        </w:rPr>
        <w:t xml:space="preserve">Calendars.ReadWrite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provide admin consent</w:t>
      </w:r>
      <w:r>
        <w:rPr>
          <w:b w:val="false"/>
          <w:bCs w:val="false"/>
        </w:rPr>
        <w:t xml:space="preserve"> (see §4).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 xml:space="preserve">Allow the delegated sign-in scopes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</w:rPr>
        <w:t xml:space="preserve">openid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</w:rPr>
        <w:t xml:space="preserve">profile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</w:rPr>
        <w:t xml:space="preserve">email</w:t>
      </w:r>
      <w:r>
        <w:rPr>
          <w:b w:val="false"/>
          <w:bCs w:val="false"/>
        </w:rPr>
        <w:t xml:space="preserve"> (and </w:t>
      </w:r>
      <w:r>
        <w:rPr>
          <w:rFonts w:ascii="Courier New" w:cs="Courier New" w:eastAsia="Courier New" w:hAnsi="Courier New"/>
          <w:b w:val="false"/>
          <w:bCs w:val="false"/>
        </w:rPr>
        <w:t xml:space="preserve">User.Read</w:t>
      </w:r>
      <w:r>
        <w:rPr>
          <w:b w:val="false"/>
          <w:bCs w:val="false"/>
        </w:rPr>
        <w:t xml:space="preserve">) for user login (see §4).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 xml:space="preserve">Add the sign-in redirect URI</w:t>
      </w:r>
      <w:r>
        <w:rPr>
          <w:b w:val="false"/>
          <w:bCs w:val="false"/>
        </w:rPr>
        <w:t xml:space="preserve"> for the app's hosted URL (see §5).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 xml:space="preserve">Issue a client secret</w:t>
      </w:r>
      <w:r>
        <w:rPr>
          <w:b w:val="false"/>
          <w:bCs w:val="false"/>
        </w:rPr>
        <w:t xml:space="preserve"> (or certificate) for the app (see §5).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 xml:space="preserve">(Recommended) Scope the app</w:t>
      </w:r>
      <w:r>
        <w:rPr>
          <w:b w:val="false"/>
          <w:bCs w:val="false"/>
        </w:rPr>
        <w:t xml:space="preserve"> to a security group with an Exchange Application Access Policy for the pilot (see §6).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 xml:space="preserve">Confirm networking</w:t>
      </w:r>
      <w:r>
        <w:rPr>
          <w:b w:val="false"/>
          <w:bCs w:val="false"/>
        </w:rPr>
        <w:t xml:space="preserve">: the app needs a public HTTPS endpoint reachable by Microsoft Graph for change notifications (see §7).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 xml:space="preserve">Provision file storage</w:t>
      </w:r>
      <w:r>
        <w:rPr>
          <w:b w:val="false"/>
          <w:bCs w:val="false"/>
        </w:rPr>
        <w:t xml:space="preserve"> (object storage + CDN) for attachments/downloads shown in the gallery (see §8a).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 xml:space="preserve">Return to the project team</w:t>
      </w:r>
      <w:r>
        <w:rPr>
          <w:b w:val="false"/>
          <w:bCs w:val="false"/>
        </w:rPr>
        <w:t xml:space="preserve">: Directory (tenant) ID, Application (client) ID, and the client secret value (see §9).</w:t>
      </w:r>
    </w:p>
    <w:p>
      <w:pPr>
        <w:pStyle w:val="Heading1"/>
      </w:pPr>
      <w:bookmarkStart w:name="sec_3_Entra_ID_application_registration" w:id="3"/>
      <w:r>
        <w:t xml:space="preserve">3. Entra ID application registration</w:t>
      </w:r>
      <w:bookmarkEnd w:id="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Application name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Award Hub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Supported account types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tenant — Accounts in this organizational directory only (Publicis)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Redirect URI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https://&lt;award-hub-host&gt;/api/auth/callback/azure-ad</w:t>
            </w:r>
            <w:r>
              <w:rPr>
                <w:b w:val="false"/>
                <w:bCs w:val="false"/>
              </w:rPr>
              <w:t xml:space="preserve"> (see §5)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Implicit/hybrid flows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required (standard authorization code flow)</w:t>
            </w:r>
          </w:p>
        </w:tc>
      </w:tr>
    </w:tbl>
    <w:p>
      <w:pPr>
        <w:pBdr>
          <w:left w:val="single" w:color="2E75B6" w:sz="18" w:space="8"/>
        </w:pBdr>
        <w:spacing w:after="140" w:before="60" w:line="288" w:lineRule="auto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595959"/>
        </w:rPr>
        <w:t xml:space="preserve">&lt;award-hub-host&gt;</w:t>
      </w:r>
      <w:r>
        <w:rPr>
          <w:b w:val="false"/>
          <w:bCs w:val="false"/>
          <w:i/>
          <w:iCs/>
          <w:color w:val="595959"/>
        </w:rPr>
        <w:t xml:space="preserve"> is the final hosted hostname (e.g. the chosen host's URL or an internal DNS name). For local testing during evaluation it would be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595959"/>
        </w:rPr>
        <w:t xml:space="preserve">http://localhost:3000</w:t>
      </w:r>
      <w:r>
        <w:rPr>
          <w:b w:val="false"/>
          <w:bCs w:val="false"/>
          <w:i/>
          <w:iCs/>
          <w:color w:val="595959"/>
        </w:rPr>
        <w:t xml:space="preserve">.</w:t>
      </w:r>
    </w:p>
    <w:p>
      <w:pPr>
        <w:pBdr>
          <w:left w:val="single" w:color="2E75B6" w:sz="18" w:space="8"/>
        </w:pBdr>
        <w:spacing w:after="140" w:before="60" w:line="288" w:lineRule="auto"/>
        <w:ind w:left="360"/>
      </w:pPr>
      <w:r>
        <w:rPr>
          <w:b/>
          <w:bCs/>
          <w:i/>
          <w:iCs/>
          <w:color w:val="595959"/>
        </w:rPr>
        <w:t xml:space="preserve">This host is not required to create the registration.</w:t>
      </w:r>
      <w:r>
        <w:rPr>
          <w:b w:val="false"/>
          <w:bCs w:val="false"/>
          <w:i/>
          <w:iCs/>
          <w:color w:val="595959"/>
        </w:rPr>
        <w:t xml:space="preserve"> It is determined by the hosting decision (§8) — the URL of the chosen host, or a custom domain. Register now with the http://localhost:3000 redirect URI; the production URL can be </w:t>
      </w:r>
      <w:r>
        <w:rPr>
          <w:b/>
          <w:bCs/>
          <w:i/>
          <w:iCs/>
          <w:color w:val="595959"/>
        </w:rPr>
        <w:t xml:space="preserve">added later with no re-consent</w:t>
      </w:r>
      <w:r>
        <w:rPr>
          <w:b w:val="false"/>
          <w:bCs w:val="false"/>
          <w:i/>
          <w:iCs/>
          <w:color w:val="595959"/>
        </w:rPr>
        <w:t xml:space="preserve"> (redirect URIs are editable on the app registration at any time). Note this is a server-hosted Node app, </w:t>
      </w:r>
      <w:r>
        <w:rPr>
          <w:b/>
          <w:bCs/>
          <w:i/>
          <w:iCs/>
          <w:color w:val="595959"/>
        </w:rPr>
        <w:t xml:space="preserve">not</w:t>
      </w:r>
      <w:r>
        <w:rPr>
          <w:b w:val="false"/>
          <w:bCs w:val="false"/>
          <w:i/>
          <w:iCs/>
          <w:color w:val="595959"/>
        </w:rPr>
        <w:t xml:space="preserve"> the static prototype URL.</w:t>
      </w:r>
    </w:p>
    <w:p>
      <w:pPr>
        <w:pBdr>
          <w:left w:val="single" w:color="2E75B6" w:sz="18" w:space="8"/>
        </w:pBdr>
        <w:spacing w:after="140" w:before="60" w:line="288" w:lineRule="auto"/>
        <w:ind w:left="360"/>
      </w:pPr>
      <w:r>
        <w:rPr>
          <w:b/>
          <w:bCs/>
          <w:i/>
          <w:iCs/>
          <w:color w:val="595959"/>
        </w:rPr>
        <w:t xml:space="preserve">Which directory: </w:t>
      </w:r>
      <w:r>
        <w:rPr>
          <w:b w:val="false"/>
          <w:bCs w:val="false"/>
          <w:i/>
          <w:iCs/>
          <w:color w:val="595959"/>
        </w:rPr>
        <w:t xml:space="preserve">the app </w:t>
      </w:r>
      <w:r>
        <w:rPr>
          <w:b/>
          <w:bCs/>
          <w:i/>
          <w:iCs/>
          <w:color w:val="595959"/>
        </w:rPr>
        <w:t xml:space="preserve">must</w:t>
      </w:r>
      <w:r>
        <w:rPr>
          <w:b w:val="false"/>
          <w:bCs w:val="false"/>
          <w:i/>
          <w:iCs/>
          <w:color w:val="595959"/>
        </w:rPr>
        <w:t xml:space="preserve"> be registered in the </w:t>
      </w:r>
      <w:r>
        <w:rPr>
          <w:b/>
          <w:bCs/>
          <w:i/>
          <w:iCs/>
          <w:color w:val="595959"/>
        </w:rPr>
        <w:t xml:space="preserve">same Entra tenant that contains the mailbox</w:t>
      </w:r>
      <w:r>
        <w:rPr>
          <w:b w:val="false"/>
          <w:bCs w:val="false"/>
          <w:i/>
          <w:iCs/>
          <w:color w:val="595959"/>
        </w:rPr>
        <w:t xml:space="preserve"> mln-awardsgroupe@publicisgroupe.net — i.e. the directory where publicisgroupe.net is a verified domain (shown as “Publicis Groupe” in our testing). Publicis spans multiple domains/tenants, so please confirm the Directory (tenant) ID matches the one that owns this mailbox; an app registered in any other directory cannot see it.</w:t>
      </w:r>
    </w:p>
    <w:p>
      <w:pPr>
        <w:pStyle w:val="Heading1"/>
      </w:pPr>
      <w:bookmarkStart w:name="sec_4_Microsoft_Graph_API_permissions" w:id="4"/>
      <w:r>
        <w:t xml:space="preserve">4. Microsoft Graph API permissions</w:t>
      </w:r>
      <w:bookmarkEnd w:id="4"/>
    </w:p>
    <w:p>
      <w:pPr>
        <w:spacing w:after="140" w:line="288" w:lineRule="auto"/>
      </w:pPr>
      <w:r>
        <w:rPr>
          <w:b w:val="false"/>
          <w:bCs w:val="false"/>
        </w:rPr>
        <w:t xml:space="preserve">The app uses </w:t>
      </w:r>
      <w:r>
        <w:rPr>
          <w:b/>
          <w:bCs/>
        </w:rPr>
        <w:t xml:space="preserve">two</w:t>
      </w:r>
      <w:r>
        <w:rPr>
          <w:b w:val="false"/>
          <w:bCs w:val="false"/>
        </w:rPr>
        <w:t xml:space="preserve"> kinds of access:</w:t>
      </w:r>
    </w:p>
    <w:p>
      <w:pPr>
        <w:pStyle w:val="Heading2"/>
      </w:pPr>
      <w:r>
        <w:t xml:space="preserve">4a. Application permission (service identity — REQUIRES ADMIN CONSENT)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7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Permission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Admin consent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Why it is needed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Calendars.ReadWrite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 the awards@ shared mailbox calendar, subscribe to its change notifications, and create/update/delete event copies in staff members' calendars on their behalf (including while they are offline).</w:t>
            </w:r>
          </w:p>
        </w:tc>
      </w:tr>
    </w:tbl>
    <w:p>
      <w:pPr>
        <w:spacing w:after="200" w:line="288" w:lineRule="auto"/>
      </w:pPr>
      <w:r>
        <w:t xml:space="preserve">This single application permission covers both reading the shared mailbox and writing to user calendars. The app authenticates as itself (client-credentials flow) — it does not need to be a delegate or member of the awards@ mailbox.</w:t>
      </w:r>
    </w:p>
    <w:p>
      <w:pPr>
        <w:pStyle w:val="Heading2"/>
      </w:pPr>
      <w:r>
        <w:t xml:space="preserve">4b. Delegated permissions (user sign-in)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Permission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Admin consent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Why it is needed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openid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profile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Delegated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 tenant policy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 staff in and read their identity (object id + work email) to know whose calendar to write to.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User.Read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Delegated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Usually user-consentable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Basic profile read for the signed-in user.</w:t>
            </w:r>
          </w:p>
        </w:tc>
      </w:tr>
    </w:tbl>
    <w:p>
      <w:pPr>
        <w:pBdr>
          <w:left w:val="single" w:color="2E75B6" w:sz="18" w:space="8"/>
        </w:pBdr>
        <w:spacing w:after="140" w:before="60" w:line="288" w:lineRule="auto"/>
        <w:ind w:left="360"/>
      </w:pPr>
      <w:r>
        <w:rPr>
          <w:b w:val="false"/>
          <w:bCs w:val="false"/>
          <w:i/>
          <w:iCs/>
          <w:color w:val="595959"/>
        </w:rPr>
        <w:t xml:space="preserve">Note: the app does </w:t>
      </w:r>
      <w:r>
        <w:rPr>
          <w:b/>
          <w:bCs/>
          <w:i/>
          <w:iCs/>
          <w:color w:val="595959"/>
        </w:rPr>
        <w:t xml:space="preserve">not</w:t>
      </w:r>
      <w:r>
        <w:rPr>
          <w:b w:val="false"/>
          <w:bCs w:val="false"/>
          <w:i/>
          <w:iCs/>
          <w:color w:val="595959"/>
        </w:rPr>
        <w:t xml:space="preserve"> read or write calendars using the user's delegated token — sign-in only identifies the person. All calendar reads/writes use the application permission in §4a.</w:t>
      </w:r>
    </w:p>
    <w:p>
      <w:pPr>
        <w:pStyle w:val="Heading2"/>
      </w:pPr>
      <w:r>
        <w:t xml:space="preserve">4c. Confirmed source-mailbox identity</w:t>
      </w:r>
    </w:p>
    <w:p>
      <w:pPr>
        <w:spacing w:after="140" w:line="288" w:lineRule="auto"/>
      </w:pPr>
      <w:r>
        <w:rPr>
          <w:b w:val="false"/>
          <w:bCs w:val="false"/>
        </w:rPr>
        <w:t xml:space="preserve">The shared mailbox is present in the Publicis tenant. Its </w:t>
      </w:r>
      <w:r>
        <w:rPr>
          <w:b/>
          <w:bCs/>
        </w:rPr>
        <w:t xml:space="preserve">canonical identity</w:t>
      </w:r>
      <w:r>
        <w:rPr>
          <w:b w:val="false"/>
          <w:bCs w:val="false"/>
        </w:rPr>
        <w:t xml:space="preserve"> (verified via Microsoft Graph) 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Display name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AWARDSGROUPE_PUB_TH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SMTP / mail alias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awards@publicisgroupe.com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userPrincipalName (use this)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mln-awardsgroupe@publicisgroupe.net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Object id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f106ba3f-f1d5-4631-8f03-18745642634e</w:t>
            </w:r>
          </w:p>
        </w:tc>
      </w:tr>
    </w:tbl>
    <w:p>
      <w:pPr>
        <w:pBdr>
          <w:left w:val="single" w:color="2E75B6" w:sz="18" w:space="8"/>
        </w:pBdr>
        <w:spacing w:after="140" w:before="60" w:line="288" w:lineRule="auto"/>
        <w:ind w:left="360"/>
      </w:pPr>
      <w:r>
        <w:rPr>
          <w:b w:val="false"/>
          <w:bCs w:val="false"/>
          <w:i/>
          <w:iCs/>
          <w:color w:val="595959"/>
        </w:rPr>
        <w:t xml:space="preserve">Graph addresses mailboxes by </w:t>
      </w:r>
      <w:r>
        <w:rPr>
          <w:b/>
          <w:bCs/>
          <w:i/>
          <w:iCs/>
          <w:color w:val="595959"/>
        </w:rPr>
        <w:t xml:space="preserve">UPN or object id</w:t>
      </w:r>
      <w:r>
        <w:rPr>
          <w:b w:val="false"/>
          <w:bCs w:val="false"/>
          <w:i/>
          <w:iCs/>
          <w:color w:val="595959"/>
        </w:rPr>
        <w:t xml:space="preserve">, not by the SMTP alias — GET /users/awards@publicisgroupe.com returns 404. The app must be configured with AWARDS_MAILBOX = mln-awardsgroupe@publicisgroupe.net (or the object id).</w:t>
      </w:r>
    </w:p>
    <w:p>
      <w:pPr>
        <w:pStyle w:val="Heading2"/>
      </w:pPr>
      <w:r>
        <w:t xml:space="preserve">4d. Smaller alternative for an early READ-ONLY pilot</w:t>
      </w:r>
    </w:p>
    <w:p>
      <w:pPr>
        <w:spacing w:after="140" w:line="288" w:lineRule="auto"/>
      </w:pPr>
      <w:r>
        <w:rPr>
          <w:b w:val="false"/>
          <w:bCs w:val="false"/>
        </w:rPr>
        <w:t xml:space="preserve">If granting the tenant-wide </w:t>
      </w:r>
      <w:r>
        <w:rPr>
          <w:b/>
          <w:bCs/>
        </w:rPr>
        <w:t xml:space="preserve">application</w:t>
      </w:r>
      <w:r>
        <w:rPr>
          <w:b w:val="false"/>
          <w:bCs w:val="false"/>
        </w:rPr>
        <w:t xml:space="preserve"> permission needs more review time, a </w:t>
      </w:r>
      <w:r>
        <w:rPr>
          <w:b/>
          <w:bCs/>
        </w:rPr>
        <w:t xml:space="preserve">read-only demo</w:t>
      </w:r>
      <w:r>
        <w:rPr>
          <w:b w:val="false"/>
          <w:bCs w:val="false"/>
        </w:rPr>
        <w:t xml:space="preserve"> of the awards@ → website direction can run with </w:t>
      </w:r>
      <w:r>
        <w:rPr>
          <w:b/>
          <w:bCs/>
        </w:rPr>
        <w:t xml:space="preserve">delegated</w:t>
      </w:r>
      <w:r>
        <w:rPr>
          <w:b w:val="false"/>
          <w:bCs w:val="false"/>
        </w:rPr>
        <w:t xml:space="preserve"> permissions instead: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 w:val="false"/>
          <w:bCs w:val="false"/>
        </w:rPr>
        <w:t xml:space="preserve">App registration with </w:t>
      </w:r>
      <w:r>
        <w:rPr>
          <w:b/>
          <w:bCs/>
        </w:rPr>
        <w:t xml:space="preserve">delegated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</w:rPr>
        <w:t xml:space="preserve">Calendars.Read.Shared</w:t>
      </w:r>
      <w:r>
        <w:rPr>
          <w:b w:val="false"/>
          <w:bCs w:val="false"/>
        </w:rPr>
        <w:t xml:space="preserve"> (often </w:t>
      </w:r>
      <w:r>
        <w:rPr>
          <w:b/>
          <w:bCs/>
        </w:rPr>
        <w:t xml:space="preserve">user-consentable</w:t>
      </w:r>
      <w:r>
        <w:rPr>
          <w:b w:val="false"/>
          <w:bCs w:val="false"/>
        </w:rPr>
        <w:t xml:space="preserve">, no tenant-wide admin consent), </w:t>
      </w:r>
      <w:r>
        <w:rPr>
          <w:b/>
          <w:bCs/>
        </w:rPr>
        <w:t xml:space="preserve">and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 w:val="false"/>
          <w:bCs w:val="false"/>
        </w:rPr>
        <w:t xml:space="preserve">The pilot user's account granted </w:t>
      </w:r>
      <w:r>
        <w:rPr>
          <w:b/>
          <w:bCs/>
        </w:rPr>
        <w:t xml:space="preserve">Full Access</w:t>
      </w:r>
      <w:r>
        <w:rPr>
          <w:b w:val="false"/>
          <w:bCs w:val="false"/>
        </w:rPr>
        <w:t xml:space="preserve"> to the mln-awardsgroupe@publicisgroupe.net mailbox in Exchange (Outlook calendar </w:t>
      </w:r>
      <w:r>
        <w:rPr>
          <w:b/>
          <w:bCs/>
        </w:rPr>
        <w:t xml:space="preserve">folder</w:t>
      </w:r>
      <w:r>
        <w:rPr>
          <w:b w:val="false"/>
          <w:bCs w:val="false"/>
        </w:rPr>
        <w:t xml:space="preserve"> sharing alone is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sufficient for Graph access — confirmed: a user with Outlook delegate access still gets 403 ErrorAccessDenied from Graph without mailbox Full Access).</w:t>
      </w:r>
    </w:p>
    <w:p>
      <w:pPr>
        <w:spacing w:after="200" w:before="80" w:line="288" w:lineRule="auto"/>
      </w:pPr>
      <w:r>
        <w:t xml:space="preserve">This read-only pilot cannot do the “add to my calendar” write-back or offline auto-sync — those still require the application permission in §4a — but it lets stakeholders see the real awards@ calendar on the website with a much smaller grant.</w:t>
      </w:r>
    </w:p>
    <w:p>
      <w:pPr>
        <w:pStyle w:val="Heading1"/>
      </w:pPr>
      <w:bookmarkStart w:name="sec_5_Authentication_configuration" w:id="5"/>
      <w:r>
        <w:t xml:space="preserve">5. Authentication configuration</w:t>
      </w:r>
      <w:bookmarkEnd w:id="5"/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Redirect URI (sign-in): </w:t>
      </w:r>
      <w:r>
        <w:rPr>
          <w:rFonts w:ascii="Courier New" w:cs="Courier New" w:eastAsia="Courier New" w:hAnsi="Courier New"/>
          <w:b w:val="false"/>
          <w:bCs w:val="false"/>
        </w:rPr>
        <w:t xml:space="preserve">https://&lt;award-hub-host&gt;/api/auth/callback/azure-ad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Client secret: </w:t>
      </w:r>
      <w:r>
        <w:rPr>
          <w:b w:val="false"/>
          <w:bCs w:val="false"/>
        </w:rPr>
        <w:t xml:space="preserve">Please issue a client secret (a certificate is also fine and preferred if policy requires). Note the </w:t>
      </w:r>
      <w:r>
        <w:rPr>
          <w:b/>
          <w:bCs/>
        </w:rPr>
        <w:t xml:space="preserve">expiry date</w:t>
      </w:r>
      <w:r>
        <w:rPr>
          <w:b w:val="false"/>
          <w:bCs w:val="false"/>
        </w:rPr>
        <w:t xml:space="preserve"> so we can schedule rotation; the app reads the secret from a secure store (the host's secret manager or environment secrets) and it is never committed to source code.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Token / sign-in: </w:t>
      </w:r>
      <w:r>
        <w:rPr>
          <w:b w:val="false"/>
          <w:bCs w:val="false"/>
        </w:rPr>
        <w:t xml:space="preserve">standard OpenID Connect authorization code flow.</w:t>
      </w:r>
    </w:p>
    <w:p>
      <w:pPr>
        <w:pStyle w:val="Heading1"/>
      </w:pPr>
      <w:bookmarkStart w:name="sec_6_Security_scoping_recommended" w:id="6"/>
      <w:r>
        <w:t xml:space="preserve">6. Security scoping (recommended)</w:t>
      </w:r>
      <w:bookmarkEnd w:id="6"/>
    </w:p>
    <w:p>
      <w:pPr>
        <w:spacing w:after="140" w:line="288" w:lineRule="auto"/>
      </w:pPr>
      <w:r>
        <w:rPr>
          <w:rFonts w:ascii="Courier New" w:cs="Courier New" w:eastAsia="Courier New" w:hAnsi="Courier New"/>
          <w:b w:val="false"/>
          <w:bCs w:val="false"/>
        </w:rPr>
        <w:t xml:space="preserve">Calendars.ReadWrite</w:t>
      </w:r>
      <w:r>
        <w:rPr>
          <w:b w:val="false"/>
          <w:bCs w:val="false"/>
        </w:rPr>
        <w:t xml:space="preserve"> as an </w:t>
      </w:r>
      <w:r>
        <w:rPr>
          <w:b/>
          <w:bCs/>
        </w:rPr>
        <w:t xml:space="preserve">application</w:t>
      </w:r>
      <w:r>
        <w:rPr>
          <w:b w:val="false"/>
          <w:bCs w:val="false"/>
        </w:rPr>
        <w:t xml:space="preserve"> permission is, by default, </w:t>
      </w:r>
      <w:r>
        <w:rPr>
          <w:b/>
          <w:bCs/>
        </w:rPr>
        <w:t xml:space="preserve">tenant-wide</w:t>
      </w:r>
      <w:r>
        <w:rPr>
          <w:b w:val="false"/>
          <w:bCs w:val="false"/>
        </w:rPr>
        <w:t xml:space="preserve"> — the service identity can read/write calendars in any mailbox. To limit exposure, especially during the pilot, we recommend restricting the app: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 w:val="false"/>
          <w:bCs w:val="false"/>
        </w:rPr>
        <w:t xml:space="preserve">Create a </w:t>
      </w:r>
      <w:r>
        <w:rPr>
          <w:b/>
          <w:bCs/>
        </w:rPr>
        <w:t xml:space="preserve">mail-enabled security group</w:t>
      </w:r>
      <w:r>
        <w:rPr>
          <w:b w:val="false"/>
          <w:bCs w:val="false"/>
        </w:rPr>
        <w:t xml:space="preserve"> containing only the mailboxes the app should touch (the </w:t>
      </w:r>
      <w:r>
        <w:rPr>
          <w:b/>
          <w:bCs/>
        </w:rPr>
        <w:t xml:space="preserve">awards@publicisgroupe.com</w:t>
      </w:r>
      <w:r>
        <w:rPr>
          <w:b w:val="false"/>
          <w:bCs w:val="false"/>
        </w:rPr>
        <w:t xml:space="preserve"> mailbox </w:t>
      </w:r>
      <w:r>
        <w:rPr>
          <w:b/>
          <w:bCs/>
        </w:rPr>
        <w:t xml:space="preserve">plus the pilot users</w:t>
      </w:r>
      <w:r>
        <w:rPr>
          <w:b w:val="false"/>
          <w:bCs w:val="false"/>
        </w:rPr>
        <w:t xml:space="preserve"> who will test “Add to my calendar”).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 w:val="false"/>
          <w:bCs w:val="false"/>
        </w:rPr>
        <w:t xml:space="preserve">Apply an </w:t>
      </w:r>
      <w:r>
        <w:rPr>
          <w:b/>
          <w:bCs/>
        </w:rPr>
        <w:t xml:space="preserve">Exchange Online Application Access Policy</w:t>
      </w:r>
      <w:r>
        <w:rPr>
          <w:b w:val="false"/>
          <w:bCs w:val="false"/>
        </w:rPr>
        <w:t xml:space="preserve"> binding the app registration to that group:</w:t>
      </w:r>
    </w:p>
    <w:p>
      <w:pPr>
        <w:shd w:fill="F2F2F2" w:val="clear"/>
        <w:spacing w:after="0" w:line="264" w:lineRule="auto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New-ApplicationAccessPolicy -AppId &lt;application-client-id&gt; `</w:t>
      </w:r>
    </w:p>
    <w:p>
      <w:pPr>
        <w:shd w:fill="F2F2F2" w:val="clear"/>
        <w:spacing w:after="0" w:line="264" w:lineRule="auto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-PolicyScopeGroupId &lt;award-hub-pilot-group&gt; `</w:t>
      </w:r>
    </w:p>
    <w:p>
      <w:pPr>
        <w:shd w:fill="F2F2F2" w:val="clear"/>
        <w:spacing w:after="0" w:line="264" w:lineRule="auto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-AccessRight RestrictAccess `</w:t>
      </w:r>
    </w:p>
    <w:p>
      <w:pPr>
        <w:shd w:fill="F2F2F2" w:val="clear"/>
        <w:spacing w:after="120" w:line="264" w:lineRule="auto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-Description "Restrict Award Hub to awards mailbox + pilot users"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For full rollout: </w:t>
      </w:r>
      <w:r>
        <w:rPr>
          <w:b w:val="false"/>
          <w:bCs w:val="false"/>
        </w:rPr>
        <w:t xml:space="preserve">every staff member who uses “Add to my calendar” must be in scope. Either expand the group to all staff, or remove the access policy for tenant-wide use — this is a decision for IT/security. We are happy to start pilot-scoped and review before broadening.</w:t>
      </w:r>
    </w:p>
    <w:p>
      <w:pPr>
        <w:pStyle w:val="Heading1"/>
      </w:pPr>
      <w:bookmarkStart w:name="sec_7_Networking_requirements" w:id="7"/>
      <w:r>
        <w:t xml:space="preserve">7. Networking requirements</w:t>
      </w:r>
      <w:bookmarkEnd w:id="7"/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Inbound (required for real-time sync): </w:t>
      </w:r>
      <w:r>
        <w:rPr>
          <w:b w:val="false"/>
          <w:bCs w:val="false"/>
        </w:rPr>
        <w:t xml:space="preserve">Microsoft Graph must be able to reach a public </w:t>
      </w:r>
      <w:r>
        <w:rPr>
          <w:b/>
          <w:bCs/>
        </w:rPr>
        <w:t xml:space="preserve">HTTPS</w:t>
      </w:r>
      <w:r>
        <w:rPr>
          <w:b w:val="false"/>
          <w:bCs w:val="false"/>
        </w:rPr>
        <w:t xml:space="preserve"> endpoint on the app at:</w:t>
      </w:r>
    </w:p>
    <w:p>
      <w:pPr>
        <w:shd w:fill="F2F2F2" w:val="clear"/>
        <w:spacing w:after="120" w:line="264" w:lineRule="auto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https://&lt;award-hub-host&gt;/api/graph/notifications</w:t>
      </w:r>
    </w:p>
    <w:p>
      <w:pPr>
        <w:spacing w:after="120" w:line="288" w:lineRule="auto"/>
        <w:ind w:left="360"/>
      </w:pPr>
      <w:r>
        <w:t xml:space="preserve">This receives Graph change notifications when awards@ events change. It needs a valid public TLS certificate and must be reachable from Microsoft's Graph notification service. (If a public inbound endpoint is not possible, the app still works via a periodic poll as a fallback, but real-time updates would be delayed by up to ~10 minutes.)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Outbound (required): </w:t>
      </w:r>
      <w:r>
        <w:rPr>
          <w:b w:val="false"/>
          <w:bCs w:val="false"/>
        </w:rPr>
        <w:t xml:space="preserve">the app/host must be allowed to call:</w:t>
      </w:r>
    </w:p>
    <w:p>
      <w:pPr>
        <w:pStyle w:val="ListParagraph"/>
        <w:numPr>
          <w:ilvl w:val="1"/>
          <w:numId w:val="2"/>
        </w:numPr>
        <w:spacing w:after="100" w:line="288" w:lineRule="auto"/>
      </w:pPr>
      <w:r>
        <w:rPr>
          <w:rFonts w:ascii="Courier New" w:cs="Courier New" w:eastAsia="Courier New" w:hAnsi="Courier New"/>
          <w:b w:val="false"/>
          <w:bCs w:val="false"/>
        </w:rPr>
        <w:t xml:space="preserve">https://login.microsoftonline.com</w:t>
      </w:r>
      <w:r>
        <w:rPr>
          <w:b w:val="false"/>
          <w:bCs w:val="false"/>
        </w:rPr>
        <w:t xml:space="preserve"> (token acquisition)</w:t>
      </w:r>
    </w:p>
    <w:p>
      <w:pPr>
        <w:pStyle w:val="ListParagraph"/>
        <w:numPr>
          <w:ilvl w:val="1"/>
          <w:numId w:val="2"/>
        </w:numPr>
        <w:spacing w:after="100" w:line="288" w:lineRule="auto"/>
      </w:pPr>
      <w:r>
        <w:rPr>
          <w:rFonts w:ascii="Courier New" w:cs="Courier New" w:eastAsia="Courier New" w:hAnsi="Courier New"/>
          <w:b w:val="false"/>
          <w:bCs w:val="false"/>
        </w:rPr>
        <w:t xml:space="preserve">https://graph.microsoft.com</w:t>
      </w:r>
      <w:r>
        <w:rPr>
          <w:b w:val="false"/>
          <w:bCs w:val="false"/>
        </w:rPr>
        <w:t xml:space="preserve"> (calendar reads/writes, subscriptions)</w:t>
      </w:r>
    </w:p>
    <w:p>
      <w:pPr>
        <w:pStyle w:val="Heading1"/>
      </w:pPr>
      <w:bookmarkStart w:name="sec_8_Hosting_data_handling_informational" w:id="8"/>
      <w:r>
        <w:t xml:space="preserve">8. Hosting &amp; data handling (informational)</w:t>
      </w:r>
      <w:bookmarkEnd w:id="8"/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Hosting (to be decided): </w:t>
      </w:r>
      <w:r>
        <w:rPr>
          <w:b w:val="false"/>
          <w:bCs w:val="false"/>
        </w:rPr>
        <w:t xml:space="preserve">a host that can run two processes — the web app and a small background worker — plus a </w:t>
      </w:r>
      <w:r>
        <w:rPr>
          <w:b/>
          <w:bCs/>
        </w:rPr>
        <w:t xml:space="preserve">managed relational database (MySQL or PostgreSQL)</w:t>
      </w:r>
      <w:r>
        <w:rPr>
          <w:b w:val="false"/>
          <w:bCs w:val="false"/>
        </w:rPr>
        <w:t xml:space="preserve"> and a </w:t>
      </w:r>
      <w:r>
        <w:rPr>
          <w:b/>
          <w:bCs/>
        </w:rPr>
        <w:t xml:space="preserve">secret store</w:t>
      </w:r>
      <w:r>
        <w:rPr>
          <w:b w:val="false"/>
          <w:bCs w:val="false"/>
        </w:rPr>
        <w:t xml:space="preserve"> for the client secret (the host's secret manager or environment secrets). The deployment platform is not yet finalised and is not tied to any single cloud provider.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Data stored: </w:t>
      </w:r>
      <w:r>
        <w:rPr>
          <w:b w:val="false"/>
          <w:bCs w:val="false"/>
        </w:rPr>
        <w:t xml:space="preserve">award event details copied from the awards@ calendar, a mapping of which staff member (Entra object id + work email) added which event, and the </w:t>
      </w:r>
      <w:r>
        <w:rPr>
          <w:b/>
          <w:bCs/>
        </w:rPr>
        <w:t xml:space="preserve">developer-placed gallery images and Entry Kit PDFs</w:t>
      </w:r>
      <w:r>
        <w:rPr>
          <w:b w:val="false"/>
          <w:bCs w:val="false"/>
        </w:rPr>
        <w:t xml:space="preserve"> (see §8a).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Data NOT stored: </w:t>
      </w:r>
      <w:r>
        <w:rPr>
          <w:b w:val="false"/>
          <w:bCs w:val="false"/>
        </w:rPr>
        <w:t xml:space="preserve">no passwords, no mailbox message content, no calendar data beyond the awards@ events and the app's own event copies.</w:t>
      </w:r>
    </w:p>
    <w:p>
      <w:pPr>
        <w:pStyle w:val="Heading1"/>
      </w:pPr>
      <w:bookmarkStart w:name="sec_8a_File_storage_attachments_gallery_downloads" w:id="9"/>
      <w:r>
        <w:t xml:space="preserve">8a. File storage &amp; attachments (gallery / downloads)</w:t>
      </w:r>
      <w:bookmarkEnd w:id="9"/>
    </w:p>
    <w:p>
      <w:pPr>
        <w:spacing w:after="140" w:line="288" w:lineRule="auto"/>
      </w:pPr>
      <w:r>
        <w:rPr>
          <w:b w:val="false"/>
          <w:bCs w:val="false"/>
        </w:rPr>
        <w:t xml:space="preserve">The website serves </w:t>
      </w:r>
      <w:r>
        <w:rPr>
          <w:b/>
          <w:bCs/>
        </w:rPr>
        <w:t xml:space="preserve">downloadable files</w:t>
      </w:r>
      <w:r>
        <w:rPr>
          <w:b w:val="false"/>
          <w:bCs w:val="false"/>
        </w:rPr>
        <w:t xml:space="preserve"> — a gallery </w:t>
      </w:r>
      <w:r>
        <w:rPr>
          <w:b/>
          <w:bCs/>
        </w:rPr>
        <w:t xml:space="preserve">plus per-award “Entry Kit” PDFs</w:t>
      </w:r>
      <w:r>
        <w:rPr>
          <w:b w:val="false"/>
          <w:bCs w:val="false"/>
        </w:rPr>
        <w:t xml:space="preserve"> (Award Info → Download Entry Kit) and similar assets/briefs. </w:t>
      </w:r>
      <w:r>
        <w:rPr>
          <w:b/>
          <w:bCs/>
        </w:rPr>
        <w:t xml:space="preserve">Both the gallery images and the Entry Kit PDFs are placed directly into storage by the development team</w:t>
      </w:r>
      <w:r>
        <w:rPr>
          <w:b w:val="false"/>
          <w:bCs w:val="false"/>
        </w:rPr>
        <w:t xml:space="preserve"> — there is </w:t>
      </w:r>
      <w:r>
        <w:rPr>
          <w:b/>
          <w:bCs/>
        </w:rPr>
        <w:t xml:space="preserve">no end-user or admin upload feature in the app</w:t>
      </w:r>
      <w:r>
        <w:rPr>
          <w:b w:val="false"/>
          <w:bCs w:val="false"/>
        </w:rPr>
        <w:t xml:space="preserve">. They need object storage in addition to the application database: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Provision: </w:t>
      </w:r>
      <w:r>
        <w:rPr>
          <w:b w:val="false"/>
          <w:bCs w:val="false"/>
        </w:rPr>
        <w:t xml:space="preserve">object storage (an </w:t>
      </w:r>
      <w:r>
        <w:rPr>
          <w:b/>
          <w:bCs/>
        </w:rPr>
        <w:t xml:space="preserve">S3-compatible bucket or equivalent</w:t>
      </w:r>
      <w:r>
        <w:rPr>
          <w:b w:val="false"/>
          <w:bCs w:val="false"/>
        </w:rPr>
        <w:t xml:space="preserve">), optionally fronted by a </w:t>
      </w:r>
      <w:r>
        <w:rPr>
          <w:b/>
          <w:bCs/>
        </w:rPr>
        <w:t xml:space="preserve">CDN</w:t>
      </w:r>
      <w:r>
        <w:rPr>
          <w:b w:val="false"/>
          <w:bCs w:val="false"/>
        </w:rPr>
        <w:t xml:space="preserve"> for fast delivery, with </w:t>
      </w:r>
      <w:r>
        <w:rPr>
          <w:b/>
          <w:bCs/>
        </w:rPr>
        <w:t xml:space="preserve">write access for the development/deployment team</w:t>
      </w:r>
      <w:r>
        <w:rPr>
          <w:b w:val="false"/>
          <w:bCs w:val="false"/>
        </w:rPr>
        <w:t xml:space="preserve"> to place the files.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Access model: </w:t>
      </w:r>
      <w:r>
        <w:rPr>
          <w:b w:val="false"/>
          <w:bCs w:val="false"/>
        </w:rPr>
        <w:t xml:space="preserve">files are served via the app — either a </w:t>
      </w:r>
      <w:r>
        <w:rPr>
          <w:b/>
          <w:bCs/>
        </w:rPr>
        <w:t xml:space="preserve">private container with short-lived signed URLs (SAS)</w:t>
      </w:r>
      <w:r>
        <w:rPr>
          <w:b w:val="false"/>
          <w:bCs w:val="false"/>
        </w:rPr>
        <w:t xml:space="preserve">, or a </w:t>
      </w:r>
      <w:r>
        <w:rPr>
          <w:b/>
          <w:bCs/>
        </w:rPr>
        <w:t xml:space="preserve">read-only public/CDN container</w:t>
      </w:r>
      <w:r>
        <w:rPr>
          <w:b w:val="false"/>
          <w:bCs w:val="false"/>
        </w:rPr>
        <w:t xml:space="preserve"> if the Entry Kits are non-sensitive material. Either is fine; we'll follow your preference.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No upload-security review needed from this app: </w:t>
      </w:r>
      <w:r>
        <w:rPr>
          <w:b w:val="false"/>
          <w:bCs w:val="false"/>
        </w:rPr>
        <w:t xml:space="preserve">because only the dev team places trusted files (no untrusted user/admin uploads), </w:t>
      </w:r>
      <w:r>
        <w:rPr>
          <w:b/>
          <w:bCs/>
        </w:rPr>
        <w:t xml:space="preserve">AV scanning and upload-DLP controls are not triggered</w:t>
      </w:r>
      <w:r>
        <w:rPr>
          <w:b w:val="false"/>
          <w:bCs w:val="false"/>
        </w:rPr>
        <w:t xml:space="preserve"> by this feature. Baseline storage security still applies.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Retention: </w:t>
      </w:r>
      <w:r>
        <w:rPr>
          <w:b w:val="false"/>
          <w:bCs w:val="false"/>
        </w:rPr>
        <w:t xml:space="preserve">advise any retention/deletion policy the stored files must follow.</w:t>
      </w:r>
    </w:p>
    <w:p>
      <w:pPr>
        <w:pStyle w:val="Heading1"/>
      </w:pPr>
      <w:bookmarkStart w:name="sec_8b_Governance_gates_typical_for_an_internal_Publicis_app" w:id="10"/>
      <w:r>
        <w:t xml:space="preserve">8b. Governance gates (typical for an internal Publicis app)</w:t>
      </w:r>
      <w:bookmarkEnd w:id="10"/>
    </w:p>
    <w:p>
      <w:pPr>
        <w:spacing w:after="140" w:line="288" w:lineRule="auto"/>
      </w:pPr>
      <w:r>
        <w:t xml:space="preserve">Not blockers for development, but usually required before go-live — please confirm which apply and their lead times: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Security review / penetration test</w:t>
      </w:r>
      <w:r>
        <w:rPr>
          <w:b w:val="false"/>
          <w:bCs w:val="false"/>
        </w:rPr>
        <w:t xml:space="preserve"> of the app.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Data privacy / GDPR assessment</w:t>
      </w:r>
      <w:r>
        <w:rPr>
          <w:b w:val="false"/>
          <w:bCs w:val="false"/>
        </w:rPr>
        <w:t xml:space="preserve"> (the app stores staff identifiers + files).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Accessibility (WCAG)</w:t>
      </w:r>
      <w:r>
        <w:rPr>
          <w:b w:val="false"/>
          <w:bCs w:val="false"/>
        </w:rPr>
        <w:t xml:space="preserve"> review.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DNS record + TLS certificate</w:t>
      </w:r>
      <w:r>
        <w:rPr>
          <w:b w:val="false"/>
          <w:bCs w:val="false"/>
        </w:rPr>
        <w:t xml:space="preserve"> for the app's public hostname (also used by the Graph webhook endpoint in §7).</w:t>
      </w:r>
    </w:p>
    <w:p>
      <w:pPr>
        <w:pStyle w:val="ListParagraph"/>
        <w:numPr>
          <w:ilvl w:val="0"/>
          <w:numId w:val="2"/>
        </w:numPr>
        <w:spacing w:after="100" w:line="288" w:lineRule="auto"/>
      </w:pPr>
      <w:r>
        <w:rPr>
          <w:b w:val="false"/>
          <w:bCs w:val="false"/>
        </w:rPr>
        <w:t xml:space="preserve">An </w:t>
      </w:r>
      <w:r>
        <w:rPr>
          <w:b/>
          <w:bCs/>
        </w:rPr>
        <w:t xml:space="preserve">access-control security group</w:t>
      </w:r>
      <w:r>
        <w:rPr>
          <w:b w:val="false"/>
          <w:bCs w:val="false"/>
        </w:rPr>
        <w:t xml:space="preserve"> defining who may use the app and who are </w:t>
      </w:r>
      <w:r>
        <w:rPr>
          <w:b/>
          <w:bCs/>
        </w:rPr>
        <w:t xml:space="preserve">admins</w:t>
      </w:r>
      <w:r>
        <w:rPr>
          <w:b w:val="false"/>
          <w:bCs w:val="false"/>
        </w:rPr>
        <w:t xml:space="preserve">.</w:t>
      </w:r>
    </w:p>
    <w:p>
      <w:pPr>
        <w:pStyle w:val="Heading1"/>
      </w:pPr>
      <w:bookmarkStart w:name="sec_9_What_IT_returns_to_the_project_team" w:id="11"/>
      <w:r>
        <w:t xml:space="preserve">9. What IT returns to the project team</w:t>
      </w:r>
      <w:bookmarkEnd w:id="11"/>
    </w:p>
    <w:p>
      <w:pPr>
        <w:spacing w:after="140" w:line="288" w:lineRule="auto"/>
      </w:pPr>
      <w:r>
        <w:t xml:space="preserve">Once registration and consent are complete, please provide:</w:t>
      </w:r>
    </w:p>
    <w:p>
      <w:pPr>
        <w:pStyle w:val="ListParagraph"/>
        <w:numPr>
          <w:ilvl w:val="0"/>
          <w:numId w:val="4"/>
        </w:numPr>
        <w:spacing w:after="100" w:line="288" w:lineRule="auto"/>
      </w:pPr>
      <w:r>
        <w:rPr>
          <w:b/>
          <w:bCs/>
        </w:rPr>
        <w:t xml:space="preserve">Directory (tenant) ID</w:t>
      </w:r>
    </w:p>
    <w:p>
      <w:pPr>
        <w:pStyle w:val="ListParagraph"/>
        <w:numPr>
          <w:ilvl w:val="0"/>
          <w:numId w:val="4"/>
        </w:numPr>
        <w:spacing w:after="100" w:line="288" w:lineRule="auto"/>
      </w:pPr>
      <w:r>
        <w:rPr>
          <w:b/>
          <w:bCs/>
        </w:rPr>
        <w:t xml:space="preserve">Application (client) ID</w:t>
      </w:r>
    </w:p>
    <w:p>
      <w:pPr>
        <w:pStyle w:val="ListParagraph"/>
        <w:numPr>
          <w:ilvl w:val="0"/>
          <w:numId w:val="4"/>
        </w:numPr>
        <w:spacing w:after="100" w:line="288" w:lineRule="auto"/>
      </w:pPr>
      <w:r>
        <w:rPr>
          <w:b/>
          <w:bCs/>
        </w:rPr>
        <w:t xml:space="preserve">Client secret value</w:t>
      </w:r>
      <w:r>
        <w:rPr>
          <w:b w:val="false"/>
          <w:bCs w:val="false"/>
        </w:rPr>
        <w:t xml:space="preserve"> (shared securely) </w:t>
      </w:r>
      <w:r>
        <w:rPr>
          <w:b/>
          <w:bCs/>
        </w:rPr>
        <w:t xml:space="preserve">and its expiry date</w:t>
      </w:r>
    </w:p>
    <w:p>
      <w:pPr>
        <w:pStyle w:val="ListParagraph"/>
        <w:numPr>
          <w:ilvl w:val="0"/>
          <w:numId w:val="4"/>
        </w:numPr>
        <w:spacing w:after="100" w:line="288" w:lineRule="auto"/>
      </w:pPr>
      <w:r>
        <w:rPr>
          <w:b w:val="false"/>
          <w:bCs w:val="false"/>
        </w:rPr>
        <w:t xml:space="preserve">Confirmation that </w:t>
      </w:r>
      <w:r>
        <w:rPr>
          <w:b/>
          <w:bCs/>
        </w:rPr>
        <w:t xml:space="preserve">admin consent for Calendars.ReadWrite (Application)</w:t>
      </w:r>
      <w:r>
        <w:rPr>
          <w:b w:val="false"/>
          <w:bCs w:val="false"/>
        </w:rPr>
        <w:t xml:space="preserve"> has been granted.</w:t>
      </w:r>
    </w:p>
    <w:p>
      <w:pPr>
        <w:pStyle w:val="ListParagraph"/>
        <w:numPr>
          <w:ilvl w:val="0"/>
          <w:numId w:val="4"/>
        </w:numPr>
        <w:spacing w:after="100" w:line="288" w:lineRule="auto"/>
      </w:pPr>
      <w:r>
        <w:rPr>
          <w:b w:val="false"/>
          <w:bCs w:val="false"/>
        </w:rPr>
        <w:t xml:space="preserve">(If applied) confirmation of the </w:t>
      </w:r>
      <w:r>
        <w:rPr>
          <w:b/>
          <w:bCs/>
        </w:rPr>
        <w:t xml:space="preserve">Application Access Policy</w:t>
      </w:r>
      <w:r>
        <w:rPr>
          <w:b w:val="false"/>
          <w:bCs w:val="false"/>
        </w:rPr>
        <w:t xml:space="preserve"> and the pilot group used.</w:t>
      </w:r>
    </w:p>
    <w:p>
      <w:pPr>
        <w:spacing w:after="200" w:before="80" w:line="288" w:lineRule="auto"/>
      </w:pPr>
      <w:r>
        <w:rPr>
          <w:b w:val="false"/>
          <w:bCs w:val="false"/>
        </w:rPr>
        <w:t xml:space="preserve">These are loaded into the app's configuration (</w:t>
      </w:r>
      <w:r>
        <w:rPr>
          <w:rFonts w:ascii="Courier New" w:cs="Courier New" w:eastAsia="Courier New" w:hAnsi="Courier New"/>
          <w:b w:val="false"/>
          <w:bCs w:val="false"/>
        </w:rPr>
        <w:t xml:space="preserve">AZURE_TENANT_ID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</w:rPr>
        <w:t xml:space="preserve">AZURE_CLIENT_ID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</w:rPr>
        <w:t xml:space="preserve">AZURE_CLIENT_SECRET</w:t>
      </w:r>
      <w:r>
        <w:rPr>
          <w:b w:val="false"/>
          <w:bCs w:val="false"/>
        </w:rPr>
        <w:t xml:space="preserve">) via the secure secret store.</w:t>
      </w:r>
    </w:p>
    <w:p>
      <w:pPr>
        <w:pStyle w:val="Heading1"/>
      </w:pPr>
      <w:bookmarkStart w:name="sec_10_Open_questions_for_IT" w:id="12"/>
      <w:r>
        <w:t xml:space="preserve">10. Open questions for IT</w:t>
      </w:r>
      <w:bookmarkEnd w:id="12"/>
    </w:p>
    <w:p>
      <w:pPr>
        <w:pStyle w:val="ListParagraph"/>
        <w:numPr>
          <w:ilvl w:val="0"/>
          <w:numId w:val="5"/>
        </w:numPr>
        <w:spacing w:after="100" w:line="288" w:lineRule="auto"/>
      </w:pPr>
      <w:r>
        <w:rPr>
          <w:b w:val="false"/>
          <w:bCs w:val="false"/>
        </w:rPr>
        <w:t xml:space="preserve">Are you comfortable granting </w:t>
      </w:r>
      <w:r>
        <w:rPr>
          <w:rFonts w:ascii="Courier New" w:cs="Courier New" w:eastAsia="Courier New" w:hAnsi="Courier New"/>
          <w:b w:val="false"/>
          <w:bCs w:val="false"/>
        </w:rPr>
        <w:t xml:space="preserve">Calendars.ReadWrite</w:t>
      </w:r>
      <w:r>
        <w:rPr>
          <w:b w:val="false"/>
          <w:bCs w:val="false"/>
        </w:rPr>
        <w:t xml:space="preserve"> (Application) with admin consent, scoped to a pilot group first (per §6)?</w:t>
      </w:r>
    </w:p>
    <w:p>
      <w:pPr>
        <w:pStyle w:val="ListParagraph"/>
        <w:numPr>
          <w:ilvl w:val="0"/>
          <w:numId w:val="5"/>
        </w:numPr>
        <w:spacing w:after="100" w:line="288" w:lineRule="auto"/>
      </w:pPr>
      <w:r>
        <w:rPr>
          <w:b w:val="false"/>
          <w:bCs w:val="false"/>
        </w:rPr>
        <w:t xml:space="preserve">Can the app's </w:t>
      </w:r>
      <w:r>
        <w:rPr>
          <w:rFonts w:ascii="Courier New" w:cs="Courier New" w:eastAsia="Courier New" w:hAnsi="Courier New"/>
          <w:b w:val="false"/>
          <w:bCs w:val="false"/>
        </w:rPr>
        <w:t xml:space="preserve">/api/graph/notifications</w:t>
      </w:r>
      <w:r>
        <w:rPr>
          <w:b w:val="false"/>
          <w:bCs w:val="false"/>
        </w:rPr>
        <w:t xml:space="preserve"> endpoint be exposed as a public HTTPS endpoint (per §7)? If not, we will use the polling fallback.</w:t>
      </w:r>
    </w:p>
    <w:p>
      <w:pPr>
        <w:pStyle w:val="ListParagraph"/>
        <w:numPr>
          <w:ilvl w:val="0"/>
          <w:numId w:val="5"/>
        </w:numPr>
        <w:spacing w:after="100" w:line="288" w:lineRule="auto"/>
      </w:pPr>
      <w:r>
        <w:rPr>
          <w:b w:val="false"/>
          <w:bCs w:val="false"/>
        </w:rPr>
        <w:t xml:space="preserve">Any standard for client </w:t>
      </w:r>
      <w:r>
        <w:rPr>
          <w:b/>
          <w:bCs/>
        </w:rPr>
        <w:t xml:space="preserve">secret vs. certificate</w:t>
      </w:r>
      <w:r>
        <w:rPr>
          <w:b w:val="false"/>
          <w:bCs w:val="false"/>
        </w:rPr>
        <w:t xml:space="preserve"> and rotation period we should follow?</w:t>
      </w:r>
    </w:p>
    <w:p>
      <w:pPr>
        <w:pStyle w:val="ListParagraph"/>
        <w:numPr>
          <w:ilvl w:val="0"/>
          <w:numId w:val="5"/>
        </w:numPr>
        <w:spacing w:after="100" w:line="288" w:lineRule="auto"/>
      </w:pPr>
      <w:r>
        <w:rPr>
          <w:b w:val="false"/>
          <w:bCs w:val="false"/>
        </w:rPr>
        <w:t xml:space="preserve">Preferred hosting location / environment for the application?</w:t>
      </w:r>
    </w:p>
    <w:p>
      <w:pPr>
        <w:pStyle w:val="ListParagraph"/>
        <w:numPr>
          <w:ilvl w:val="0"/>
          <w:numId w:val="5"/>
        </w:numPr>
        <w:spacing w:after="100" w:line="288" w:lineRule="auto"/>
      </w:pPr>
      <w:r>
        <w:rPr>
          <w:b w:val="false"/>
          <w:bCs w:val="false"/>
        </w:rPr>
        <w:t xml:space="preserve">Are there </w:t>
      </w:r>
      <w:r>
        <w:rPr>
          <w:b/>
          <w:bCs/>
        </w:rPr>
        <w:t xml:space="preserve">Conditional Access</w:t>
      </w:r>
      <w:r>
        <w:rPr>
          <w:b w:val="false"/>
          <w:bCs w:val="false"/>
        </w:rPr>
        <w:t xml:space="preserve"> policies that would affect either user sign-in or the app's </w:t>
      </w:r>
      <w:r>
        <w:rPr>
          <w:b/>
          <w:bCs/>
        </w:rPr>
        <w:t xml:space="preserve">client-credentials (service principal)</w:t>
      </w:r>
      <w:r>
        <w:rPr>
          <w:b w:val="false"/>
          <w:bCs w:val="false"/>
        </w:rPr>
        <w:t xml:space="preserve"> calls to Microsoft Graph? If so, the app's service principal may need to be accounted for (e.g. excluded from a policy that blocks service principals or enforces device/MFA conditions it cannot satisfy).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4"/>
      </w:pBdr>
      <w:spacing w:after="0"/>
    </w:pPr>
    <w:r>
      <w:rPr>
        <w:color w:val="8C8C8C"/>
        <w:sz w:val="16"/>
        <w:szCs w:val="16"/>
      </w:rPr>
      <w:t xml:space="preserve">Award Hub — IT / Identity Team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2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2026-06-29T06:16:21.843Z</dcterms:created>
  <dcterms:modified xsi:type="dcterms:W3CDTF">2026-06-29T06:16:21.858Z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