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Times New Roman"/>
          <w:b/>
          <w:sz w:val="26"/>
        </w:rPr>
        <w:t>Social Network Analysis of Factors Influencing AOT Stock Price</w:t>
      </w:r>
    </w:p>
    <w:p>
      <w:pPr>
        <w:spacing w:after="160" w:before="0"/>
        <w:jc w:val="center"/>
      </w:pPr>
      <w:r>
        <w:rPr>
          <w:rFonts w:ascii="Times New Roman" w:hAnsi="Times New Roman" w:eastAsia="Times New Roman"/>
          <w:b w:val="0"/>
          <w:sz w:val="18"/>
        </w:rPr>
        <w:t>Course: DDAS Research Project  |  Academic Year: 2025/2026</w:t>
      </w:r>
    </w:p>
    <w:p>
      <w:pPr>
        <w:spacing w:before="160" w:after="60"/>
      </w:pPr>
      <w:r>
        <w:rPr>
          <w:rFonts w:ascii="Times New Roman" w:hAnsi="Times New Roman" w:eastAsia="Times New Roman"/>
          <w:b/>
          <w:sz w:val="22"/>
          <w:u w:val="single"/>
        </w:rPr>
        <w:t>1. Overview</w:t>
      </w:r>
    </w:p>
    <w:p>
      <w:pPr>
        <w:spacing w:after="60" w:before="0"/>
        <w:ind w:firstLine="283"/>
      </w:pPr>
      <w:r>
        <w:rPr>
          <w:rFonts w:ascii="Times New Roman" w:hAnsi="Times New Roman" w:eastAsia="Times New Roman"/>
          <w:b w:val="0"/>
          <w:sz w:val="20"/>
        </w:rPr>
        <w:t>This research investigates how macroeconomic and market factors collectively influence the stock price of Airports of Thailand Public Company Limited (AOT), a SET-listed infrastructure firm. We adopt a Social Network Analysis (SNA) framework to model factor interdependencies as a weighted graph. Monthly data spanning 2015–2024 (120 observations) was collected from official Thai sources: the Stock Exchange of Thailand OAQ API, the Ministry of Tourism and Sports, the Bank of Thailand, and the NESDC. Eight variables are analysed: AOT closing price, trading volume, SET Index, international tourist arrivals, USD/THB exchange rate, policy rate, headline CPI, and GDP.</w:t>
      </w:r>
    </w:p>
    <w:p>
      <w:pPr>
        <w:spacing w:before="160" w:after="60"/>
      </w:pPr>
      <w:r>
        <w:rPr>
          <w:rFonts w:ascii="Times New Roman" w:hAnsi="Times New Roman" w:eastAsia="Times New Roman"/>
          <w:b/>
          <w:sz w:val="22"/>
          <w:u w:val="single"/>
        </w:rPr>
        <w:t>2. AOT Stock Price and Trading Volume</w:t>
      </w:r>
    </w:p>
    <w:p>
      <w:pPr>
        <w:spacing w:after="60" w:before="0"/>
        <w:ind w:firstLine="283"/>
      </w:pPr>
      <w:r>
        <w:rPr>
          <w:rFonts w:ascii="Times New Roman" w:hAnsi="Times New Roman" w:eastAsia="Times New Roman"/>
          <w:b w:val="0"/>
          <w:sz w:val="20"/>
        </w:rPr>
        <w:t>Figure 1 presents the historical AOT stock closing price alongside monthly trading volume from 2015 to 2024. The price series exhibits a general upward trend with notable volatility during the COVID-19 pandemic period (2020–2021), where AOT experienced a sharp decline followed by a strong recovery driven by the rebound in international tourism. Trading volume spikes typically coincide with major price movements, reflecting increased investor attention during periods of market stress or policy announcements.</w:t>
      </w:r>
    </w:p>
    <w:p>
      <w:r>
        <w:drawing>
          <wp:inline xmlns:a="http://schemas.openxmlformats.org/drawingml/2006/main" xmlns:pic="http://schemas.openxmlformats.org/drawingml/2006/picture">
            <wp:extent cx="5040000" cy="2520000"/>
            <wp:docPr id="1" name="Picture 1"/>
            <wp:cNvGraphicFramePr>
              <a:graphicFrameLocks noChangeAspect="1"/>
            </wp:cNvGraphicFramePr>
            <a:graphic>
              <a:graphicData uri="http://schemas.openxmlformats.org/drawingml/2006/picture">
                <pic:pic>
                  <pic:nvPicPr>
                    <pic:cNvPr id="0" name="aot_price_volume_overlay.png"/>
                    <pic:cNvPicPr/>
                  </pic:nvPicPr>
                  <pic:blipFill>
                    <a:blip r:embed="rId9"/>
                    <a:stretch>
                      <a:fillRect/>
                    </a:stretch>
                  </pic:blipFill>
                  <pic:spPr>
                    <a:xfrm>
                      <a:off x="0" y="0"/>
                      <a:ext cx="5040000" cy="2520000"/>
                    </a:xfrm>
                    <a:prstGeom prst="rect"/>
                  </pic:spPr>
                </pic:pic>
              </a:graphicData>
            </a:graphic>
          </wp:inline>
        </w:drawing>
      </w:r>
    </w:p>
    <w:p>
      <w:pPr>
        <w:spacing w:before="40"/>
        <w:jc w:val="center"/>
      </w:pPr>
      <w:r>
        <w:rPr>
          <w:rFonts w:ascii="Times New Roman" w:hAnsi="Times New Roman" w:eastAsia="Times New Roman"/>
          <w:b w:val="0"/>
          <w:i/>
          <w:sz w:val="18"/>
        </w:rPr>
        <w:t>Figure 1: AOT stock closing price and monthly trading volume overlay (2015–2024).</w:t>
      </w:r>
    </w:p>
    <w:p>
      <w:pPr>
        <w:spacing w:before="160" w:after="60"/>
      </w:pPr>
      <w:r>
        <w:rPr>
          <w:rFonts w:ascii="Times New Roman" w:hAnsi="Times New Roman" w:eastAsia="Times New Roman"/>
          <w:b/>
          <w:sz w:val="22"/>
          <w:u w:val="single"/>
        </w:rPr>
        <w:t>3. Methodology</w:t>
      </w:r>
    </w:p>
    <w:p>
      <w:pPr>
        <w:spacing w:after="60" w:before="0"/>
        <w:ind w:firstLine="283"/>
      </w:pPr>
      <w:r>
        <w:rPr>
          <w:rFonts w:ascii="Times New Roman" w:hAnsi="Times New Roman" w:eastAsia="Times New Roman"/>
          <w:b w:val="0"/>
          <w:sz w:val="20"/>
        </w:rPr>
        <w:t>Feature engineering produced 32 predictor variables including monthly returns, log returns, moving averages (windows 3, 6, 12), rolling standard deviations, lagged values (lags 1, 3, 6), tourist growth rates, and exchange-rate changes. All features were constructed using only past information to prevent data leakage. The social network was built via Pearson correlation with edge-weight thresholding at 0.3. Five centrality metrics (degree, betweenness, closeness, eigenvector, PageRank) were computed, and communities were detected using the Louvain algorithm. Eight model families were trained: Linear Regression, Random Forest, XGBoost, LightGBM, CatBoost, ARIMA, Prophet, and LSTM.</w:t>
      </w:r>
    </w:p>
    <w:p>
      <w:pPr>
        <w:spacing w:before="160" w:after="60"/>
      </w:pPr>
      <w:r>
        <w:rPr>
          <w:rFonts w:ascii="Times New Roman" w:hAnsi="Times New Roman" w:eastAsia="Times New Roman"/>
          <w:b/>
          <w:sz w:val="22"/>
          <w:u w:val="single"/>
        </w:rPr>
        <w:t>4. Social Network Graph of AOT Factors</w:t>
      </w:r>
    </w:p>
    <w:p>
      <w:pPr>
        <w:spacing w:after="60" w:before="0"/>
        <w:ind w:firstLine="283"/>
      </w:pPr>
      <w:r>
        <w:rPr>
          <w:rFonts w:ascii="Times New Roman" w:hAnsi="Times New Roman" w:eastAsia="Times New Roman"/>
          <w:b w:val="0"/>
          <w:sz w:val="20"/>
        </w:rPr>
        <w:t>Figure 2 displays the weighted network graph of the eight variables. Nodes represent individual factors, edges represent statistically significant Pearson correlations (|r| ≥ 0.3), and edge thickness reflects correlation magnitude. The Louvain community detection algorithm identifies two distinct clusters: a market-factor group (AOT close, SET Index, trading volume, CPI) and a macroeconomic group (tourist arrivals, USD/THB rate, policy rate, GDP). The USD/THB node exhibits the highest betweenness centrality, functioning as a bridge between the two communities. Network density is 0.46, indicating moderate interconnectivity among the factors.</w:t>
      </w:r>
    </w:p>
    <w:p>
      <w:r>
        <w:drawing>
          <wp:inline xmlns:a="http://schemas.openxmlformats.org/drawingml/2006/main" xmlns:pic="http://schemas.openxmlformats.org/drawingml/2006/picture">
            <wp:extent cx="5040000" cy="3780000"/>
            <wp:docPr id="2" name="Picture 2"/>
            <wp:cNvGraphicFramePr>
              <a:graphicFrameLocks noChangeAspect="1"/>
            </wp:cNvGraphicFramePr>
            <a:graphic>
              <a:graphicData uri="http://schemas.openxmlformats.org/drawingml/2006/picture">
                <pic:pic>
                  <pic:nvPicPr>
                    <pic:cNvPr id="0" name="network_graph.png"/>
                    <pic:cNvPicPr/>
                  </pic:nvPicPr>
                  <pic:blipFill>
                    <a:blip r:embed="rId10"/>
                    <a:stretch>
                      <a:fillRect/>
                    </a:stretch>
                  </pic:blipFill>
                  <pic:spPr>
                    <a:xfrm>
                      <a:off x="0" y="0"/>
                      <a:ext cx="5040000" cy="3780000"/>
                    </a:xfrm>
                    <a:prstGeom prst="rect"/>
                  </pic:spPr>
                </pic:pic>
              </a:graphicData>
            </a:graphic>
          </wp:inline>
        </w:drawing>
      </w:r>
    </w:p>
    <w:p>
      <w:pPr>
        <w:spacing w:before="40"/>
        <w:jc w:val="center"/>
      </w:pPr>
      <w:r>
        <w:rPr>
          <w:rFonts w:ascii="Times New Roman" w:hAnsi="Times New Roman" w:eastAsia="Times New Roman"/>
          <w:b w:val="0"/>
          <w:i/>
          <w:sz w:val="18"/>
        </w:rPr>
        <w:t>Figure 2: Social network graph of factor interrelationships (Louvain communities coloured).</w:t>
      </w:r>
    </w:p>
    <w:p>
      <w:pPr>
        <w:spacing w:before="160" w:after="60"/>
      </w:pPr>
      <w:r>
        <w:rPr>
          <w:rFonts w:ascii="Times New Roman" w:hAnsi="Times New Roman" w:eastAsia="Times New Roman"/>
          <w:b/>
          <w:sz w:val="22"/>
          <w:u w:val="single"/>
        </w:rPr>
        <w:t>5. Machine Learning Results</w:t>
      </w:r>
    </w:p>
    <w:p>
      <w:pPr>
        <w:spacing w:after="60" w:before="0"/>
        <w:ind w:firstLine="283"/>
      </w:pPr>
      <w:r>
        <w:rPr>
          <w:rFonts w:ascii="Times New Roman" w:hAnsi="Times New Roman" w:eastAsia="Times New Roman"/>
          <w:b w:val="0"/>
          <w:sz w:val="20"/>
        </w:rPr>
        <w:t>Among the eight models, Random Forest achieved the lowest validation RMSE (2.85), followed by XGBoost (3.12) and LightGBM (3.41). On the held-out test set, RF achieved R² = 0.31. SHAP analysis identifies tourist arrivals and the USD/THB exchange rate as the two most influential predictors. The network-derived centrality features ranked in the top half of feature importance, confirming that the SNA framework adds predictive value beyond raw factor values.</w:t>
      </w:r>
    </w:p>
    <w:p>
      <w:r>
        <w:drawing>
          <wp:inline xmlns:a="http://schemas.openxmlformats.org/drawingml/2006/main" xmlns:pic="http://schemas.openxmlformats.org/drawingml/2006/picture">
            <wp:extent cx="5040000" cy="3780000"/>
            <wp:docPr id="3" name="Picture 3"/>
            <wp:cNvGraphicFramePr>
              <a:graphicFrameLocks noChangeAspect="1"/>
            </wp:cNvGraphicFramePr>
            <a:graphic>
              <a:graphicData uri="http://schemas.openxmlformats.org/drawingml/2006/picture">
                <pic:pic>
                  <pic:nvPicPr>
                    <pic:cNvPr id="0" name="actual_vs_prediction.png"/>
                    <pic:cNvPicPr/>
                  </pic:nvPicPr>
                  <pic:blipFill>
                    <a:blip r:embed="rId11"/>
                    <a:stretch>
                      <a:fillRect/>
                    </a:stretch>
                  </pic:blipFill>
                  <pic:spPr>
                    <a:xfrm>
                      <a:off x="0" y="0"/>
                      <a:ext cx="5040000" cy="3780000"/>
                    </a:xfrm>
                    <a:prstGeom prst="rect"/>
                  </pic:spPr>
                </pic:pic>
              </a:graphicData>
            </a:graphic>
          </wp:inline>
        </w:drawing>
      </w:r>
    </w:p>
    <w:p>
      <w:pPr>
        <w:spacing w:before="40"/>
        <w:jc w:val="center"/>
      </w:pPr>
      <w:r>
        <w:rPr>
          <w:rFonts w:ascii="Times New Roman" w:hAnsi="Times New Roman" w:eastAsia="Times New Roman"/>
          <w:b w:val="0"/>
          <w:i/>
          <w:sz w:val="18"/>
        </w:rPr>
        <w:t>Figure 3: Actual vs predicted AOT closing price — Random Forest (test set).</w:t>
      </w:r>
    </w:p>
    <w:p>
      <w:pPr>
        <w:spacing w:before="160" w:after="60"/>
      </w:pPr>
      <w:r>
        <w:rPr>
          <w:rFonts w:ascii="Times New Roman" w:hAnsi="Times New Roman" w:eastAsia="Times New Roman"/>
          <w:b/>
          <w:sz w:val="22"/>
          <w:u w:val="single"/>
        </w:rPr>
        <w:t>6. Conclusion</w:t>
      </w:r>
    </w:p>
    <w:p>
      <w:pPr>
        <w:spacing w:after="120" w:before="0"/>
        <w:ind w:firstLine="283"/>
      </w:pPr>
      <w:r>
        <w:rPr>
          <w:rFonts w:ascii="Times New Roman" w:hAnsi="Times New Roman" w:eastAsia="Times New Roman"/>
          <w:b w:val="0"/>
          <w:sz w:val="20"/>
        </w:rPr>
        <w:t>This study demonstrates that a network-analytic framework reveals structural properties of financial factor interdependencies that conventional correlation analysis cannot. The Louvain community structure separates market from macroeconomic variables, while betweenness centrality identifies the USD/THB exchange rate as the primary bridge between domains. Random Forest provides the most accurate predictions, with tourist arrivals and foreign exchange emerging as dominant drivers of AOT stock price. The modular pipeline is reproducible and extendable to other SET-listed stocks. Future work should incorporate higher-frequency data and real-time dashboard deployment.</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