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26"/>
        </w:rPr>
        <w:t>Social Network Analysis of Factors Influencing AOT Stock Price</w:t>
      </w:r>
    </w:p>
    <w:p>
      <w:pPr>
        <w:spacing w:after="120" w:before="0"/>
        <w:jc w:val="center"/>
      </w:pPr>
      <w:r>
        <w:rPr>
          <w:rFonts w:ascii="Times New Roman" w:hAnsi="Times New Roman" w:eastAsia="Times New Roman"/>
          <w:b w:val="0"/>
          <w:i w:val="0"/>
          <w:sz w:val="18"/>
        </w:rPr>
        <w:t>Student ID: ________     |     Programme: Master of Science (Data Analytics)</w:t>
      </w:r>
    </w:p>
    <w:p>
      <w:pPr>
        <w:spacing w:after="160" w:before="0"/>
        <w:jc w:val="center"/>
      </w:pPr>
      <w:r>
        <w:rPr>
          <w:rFonts w:ascii="Times New Roman" w:hAnsi="Times New Roman" w:eastAsia="Times New Roman"/>
          <w:b w:val="0"/>
          <w:i w:val="0"/>
          <w:sz w:val="18"/>
        </w:rPr>
        <w:t>Course: DDAS Research Project     |     Academic Year: 2025/2026</w:t>
      </w:r>
    </w:p>
    <w:p>
      <w:pPr>
        <w:spacing w:before="160" w:after="60"/>
      </w:pPr>
      <w:r>
        <w:rPr>
          <w:rFonts w:ascii="Times New Roman" w:hAnsi="Times New Roman" w:eastAsia="Times New Roman"/>
          <w:b/>
          <w:i w:val="0"/>
          <w:sz w:val="22"/>
          <w:u w:val="single"/>
        </w:rPr>
        <w:t>1. Overview</w:t>
      </w:r>
    </w:p>
    <w:p>
      <w:pPr>
        <w:spacing w:after="60" w:before="0"/>
        <w:ind w:firstLine="283"/>
      </w:pPr>
      <w:r>
        <w:rPr>
          <w:rFonts w:ascii="Times New Roman" w:hAnsi="Times New Roman" w:eastAsia="Times New Roman"/>
          <w:b w:val="0"/>
          <w:i w:val="0"/>
          <w:sz w:val="20"/>
        </w:rPr>
        <w:t>This research investigates how macroeconomic and market factors collectively influence the stock price of Airports of Thailand Public Company Limited (AOT), a SET-listed infrastructure firm. Rather than examining pairwise correlations in isolation, we adopt a Social Network Analysis (SNA) framework to model factor interdependencies as a weighted graph [1]. Monthly data spanning 2015–2024 (120 observations) was collected from four official Thai sources: the Stock Exchange of Thailand OAQ API [2], the Ministry of Tourism and Sports [3], the Bank of Thailand [4], and the NESDC. Eight variables were selected: AOT closing price, trading volume, SET Index, international tourist arrivals, USD/THB exchange rate, policy rate, headline CPI, and GDP. The network comprises nine nodes (including tourism revenue) connected by edges weighted by Pearson correlation [5].</w:t>
      </w:r>
    </w:p>
    <w:p>
      <w:pPr>
        <w:spacing w:before="160" w:after="60"/>
      </w:pPr>
      <w:r>
        <w:rPr>
          <w:rFonts w:ascii="Times New Roman" w:hAnsi="Times New Roman" w:eastAsia="Times New Roman"/>
          <w:b/>
          <w:i w:val="0"/>
          <w:sz w:val="22"/>
          <w:u w:val="single"/>
        </w:rPr>
        <w:t>2. Methodology</w:t>
      </w:r>
    </w:p>
    <w:p>
      <w:pPr>
        <w:spacing w:after="60" w:before="0"/>
        <w:ind w:firstLine="283"/>
      </w:pPr>
      <w:r>
        <w:rPr>
          <w:rFonts w:ascii="Times New Roman" w:hAnsi="Times New Roman" w:eastAsia="Times New Roman"/>
          <w:b w:val="0"/>
          <w:i w:val="0"/>
          <w:sz w:val="20"/>
        </w:rPr>
        <w:t>Feature engineering produced 28 predictor variables including monthly returns, log returns, moving averages (windows 3, 6, 12), rolling standard deviations, lagged values (lags 1, 3, 6), tourist growth rates, and exchange-rate changes. All features were constructed using only past information to prevent data leakage. The social network was built via three association measures: Pearson correlation r, Spearman rank correlation ρ, and mutual information (k-NN estimator). Edge weights below a configurable threshold (default 0.3) were pruned to retain only meaningful relationships. Five centrality metrics (degree, betweenness, closeness, eigenvector, PageRank) were computed [5], and communities were detected using the Louvain algorithm [6], which maximises modularity through greedy optimisation.</w:t>
      </w:r>
    </w:p>
    <w:p>
      <w:pPr>
        <w:spacing w:before="160" w:after="60"/>
      </w:pPr>
      <w:r>
        <w:rPr>
          <w:rFonts w:ascii="Times New Roman" w:hAnsi="Times New Roman" w:eastAsia="Times New Roman"/>
          <w:b/>
          <w:i w:val="0"/>
          <w:sz w:val="22"/>
          <w:u w:val="single"/>
        </w:rPr>
        <w:t>3. Existing Issues and Motivation</w:t>
      </w:r>
    </w:p>
    <w:p>
      <w:pPr>
        <w:spacing w:after="60" w:before="0"/>
        <w:ind w:firstLine="283"/>
      </w:pPr>
      <w:r>
        <w:rPr>
          <w:rFonts w:ascii="Times New Roman" w:hAnsi="Times New Roman" w:eastAsia="Times New Roman"/>
          <w:b w:val="0"/>
          <w:i w:val="0"/>
          <w:sz w:val="20"/>
        </w:rPr>
        <w:t>Existing studies of AOT stock price rely primarily on univariate time-series models (ARIMA, GARCH) or single-factor regression, which ignore the complex interdependencies among market and macroeconomic variables [7]. Multivariate approaches that do exist treat predictors as independent, overlooking the feedback loops and indirect effects that characterise financial systems. The motivation for this work is threefold. First, a network perspective can reveal which variables act as bridges (high betweenness centrality) through which shocks propagate. Second, community detection can group variables into interpretable clusters (e.g., market factors vs. macroeconomic indicators). Third, combining network-derived insights with supervised learning may yield more robust and interpretable forecasts than either approach alone.</w:t>
      </w:r>
    </w:p>
    <w:p>
      <w:pPr>
        <w:spacing w:before="160" w:after="60"/>
      </w:pPr>
      <w:r>
        <w:rPr>
          <w:rFonts w:ascii="Times New Roman" w:hAnsi="Times New Roman" w:eastAsia="Times New Roman"/>
          <w:b/>
          <w:i w:val="0"/>
          <w:sz w:val="22"/>
          <w:u w:val="single"/>
        </w:rPr>
        <w:t>4. Proposed Approach</w:t>
      </w:r>
    </w:p>
    <w:p>
      <w:pPr>
        <w:spacing w:after="60" w:before="0"/>
        <w:ind w:firstLine="283"/>
      </w:pPr>
      <w:r>
        <w:rPr>
          <w:rFonts w:ascii="Times New Roman" w:hAnsi="Times New Roman" w:eastAsia="Times New Roman"/>
          <w:b w:val="0"/>
          <w:i w:val="0"/>
          <w:sz w:val="20"/>
        </w:rPr>
        <w:t>We propose a two-stage analytical pipeline. Stage 1 constructs a weighted undirected graph G = (V, E, w) where V = {v1, ..., v9} represents the nine variables and edge weight w(i, j) = |ρ(vi, vj)| for Pearson/Spearman, or the normalised mutual information for non-linear dependence. Stage 2 uses the feature set augmented with network-derived attributes (centrality scores, community membership) to train eight model families: Linear Regression, Random Forest, XGBoost [8], LightGBM [9], CatBoost, ARIMA, Prophet [10], and LSTM. Hyper-parameters are optimised via grid search with TimeSeriesSplit cross-validation. The best model is automatically selected based on validation RMSE and evaluated on a held-out test set (12 months). Model interpretation is performed through SHAP values [11] and feature-importance analysis.</w:t>
      </w:r>
    </w:p>
    <w:p>
      <w:pPr>
        <w:spacing w:before="160" w:after="60"/>
      </w:pPr>
      <w:r>
        <w:rPr>
          <w:rFonts w:ascii="Times New Roman" w:hAnsi="Times New Roman" w:eastAsia="Times New Roman"/>
          <w:b/>
          <w:i w:val="0"/>
          <w:sz w:val="22"/>
          <w:u w:val="single"/>
        </w:rPr>
        <w:t>5. Experiment Setup</w:t>
      </w:r>
    </w:p>
    <w:p>
      <w:pPr>
        <w:spacing w:after="60" w:before="0"/>
        <w:ind w:firstLine="283"/>
      </w:pPr>
      <w:r>
        <w:rPr>
          <w:rFonts w:ascii="Times New Roman" w:hAnsi="Times New Roman" w:eastAsia="Times New Roman"/>
          <w:b w:val="0"/>
          <w:i w:val="0"/>
          <w:sz w:val="20"/>
        </w:rPr>
        <w:t>Data were split chronologically: 102 training months, 6 validation months, and 12 test months (most recent). All features were standardised (z-score) before fitting. ML models were trained on the full feature set; ARIMA and Prophet used only the target series. Tree-based models used 100–300 estimators with early stopping (20 rounds). The LSTM architecture comprised two LSTM layers (64 and 32 units) with dropout (0.2) and a look-back window of 6 months. Evaluation metrics were RMSE, MAE, MAPE, and R². All experiments were conducted in Python 3.12 using scikit-learn, XGBoost, LightGBM, CatBoost, Prophet, TensorFlow/Keras, and NetworkX [5] libraries.</w:t>
      </w:r>
    </w:p>
    <w:p>
      <w:r>
        <w:drawing>
          <wp:inline xmlns:a="http://schemas.openxmlformats.org/drawingml/2006/main" xmlns:pic="http://schemas.openxmlformats.org/drawingml/2006/picture">
            <wp:extent cx="2520000" cy="2208294"/>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2520000" cy="2208294"/>
                    </a:xfrm>
                    <a:prstGeom prst="rect"/>
                  </pic:spPr>
                </pic:pic>
              </a:graphicData>
            </a:graphic>
          </wp:inline>
        </w:drawing>
      </w:r>
    </w:p>
    <w:p>
      <w:pPr>
        <w:spacing w:after="80" w:before="40"/>
        <w:jc w:val="center"/>
      </w:pPr>
      <w:r>
        <w:rPr>
          <w:rFonts w:ascii="Times New Roman" w:hAnsi="Times New Roman" w:eastAsia="Times New Roman"/>
          <w:b w:val="0"/>
          <w:i/>
          <w:sz w:val="18"/>
        </w:rPr>
        <w:t>Figure 1: Correlation heatmap of AOT-influencing factors (Pearson r). Darker shades indicate stronger linear association.</w:t>
      </w:r>
    </w:p>
    <w:p>
      <w:r>
        <w:drawing>
          <wp:inline xmlns:a="http://schemas.openxmlformats.org/drawingml/2006/main" xmlns:pic="http://schemas.openxmlformats.org/drawingml/2006/picture">
            <wp:extent cx="5040000" cy="4006329"/>
            <wp:docPr id="2" name="Picture 2"/>
            <wp:cNvGraphicFramePr>
              <a:graphicFrameLocks noChangeAspect="1"/>
            </wp:cNvGraphicFramePr>
            <a:graphic>
              <a:graphicData uri="http://schemas.openxmlformats.org/drawingml/2006/picture">
                <pic:pic>
                  <pic:nvPicPr>
                    <pic:cNvPr id="0" name="network_graph.png"/>
                    <pic:cNvPicPr/>
                  </pic:nvPicPr>
                  <pic:blipFill>
                    <a:blip r:embed="rId10"/>
                    <a:stretch>
                      <a:fillRect/>
                    </a:stretch>
                  </pic:blipFill>
                  <pic:spPr>
                    <a:xfrm>
                      <a:off x="0" y="0"/>
                      <a:ext cx="5040000" cy="4006329"/>
                    </a:xfrm>
                    <a:prstGeom prst="rect"/>
                  </pic:spPr>
                </pic:pic>
              </a:graphicData>
            </a:graphic>
          </wp:inline>
        </w:drawing>
      </w:r>
    </w:p>
    <w:p>
      <w:pPr>
        <w:spacing w:after="80" w:before="40"/>
        <w:jc w:val="center"/>
      </w:pPr>
      <w:r>
        <w:rPr>
          <w:rFonts w:ascii="Times New Roman" w:hAnsi="Times New Roman" w:eastAsia="Times New Roman"/>
          <w:b w:val="0"/>
          <w:i/>
          <w:sz w:val="18"/>
        </w:rPr>
        <w:t>Figure 2: Social network graph of factor interrelationships. Node size reflects degree centrality; colour denotes Louvain community.</w:t>
      </w:r>
    </w:p>
    <w:p>
      <w:r>
        <w:drawing>
          <wp:inline xmlns:a="http://schemas.openxmlformats.org/drawingml/2006/main" xmlns:pic="http://schemas.openxmlformats.org/drawingml/2006/picture">
            <wp:extent cx="2520000" cy="1590247"/>
            <wp:docPr id="3" name="Picture 3"/>
            <wp:cNvGraphicFramePr>
              <a:graphicFrameLocks noChangeAspect="1"/>
            </wp:cNvGraphicFramePr>
            <a:graphic>
              <a:graphicData uri="http://schemas.openxmlformats.org/drawingml/2006/picture">
                <pic:pic>
                  <pic:nvPicPr>
                    <pic:cNvPr id="0" name="centrality_heatmap.png"/>
                    <pic:cNvPicPr/>
                  </pic:nvPicPr>
                  <pic:blipFill>
                    <a:blip r:embed="rId11"/>
                    <a:stretch>
                      <a:fillRect/>
                    </a:stretch>
                  </pic:blipFill>
                  <pic:spPr>
                    <a:xfrm>
                      <a:off x="0" y="0"/>
                      <a:ext cx="2520000" cy="1590247"/>
                    </a:xfrm>
                    <a:prstGeom prst="rect"/>
                  </pic:spPr>
                </pic:pic>
              </a:graphicData>
            </a:graphic>
          </wp:inline>
        </w:drawing>
      </w:r>
    </w:p>
    <w:p>
      <w:pPr>
        <w:spacing w:after="80" w:before="40"/>
        <w:jc w:val="center"/>
      </w:pPr>
      <w:r>
        <w:rPr>
          <w:rFonts w:ascii="Times New Roman" w:hAnsi="Times New Roman" w:eastAsia="Times New Roman"/>
          <w:b w:val="0"/>
          <w:i/>
          <w:sz w:val="18"/>
        </w:rPr>
        <w:t>Figure 3: Centrality metrics across nodes. Betweenness centrality identifies bridge variables (e.g., USD/THB).</w:t>
      </w:r>
    </w:p>
    <w:p>
      <w:r>
        <w:drawing>
          <wp:inline xmlns:a="http://schemas.openxmlformats.org/drawingml/2006/main" xmlns:pic="http://schemas.openxmlformats.org/drawingml/2006/picture">
            <wp:extent cx="2520000" cy="1561316"/>
            <wp:docPr id="4" name="Picture 4"/>
            <wp:cNvGraphicFramePr>
              <a:graphicFrameLocks noChangeAspect="1"/>
            </wp:cNvGraphicFramePr>
            <a:graphic>
              <a:graphicData uri="http://schemas.openxmlformats.org/drawingml/2006/picture">
                <pic:pic>
                  <pic:nvPicPr>
                    <pic:cNvPr id="0" name="degree_distribution.png"/>
                    <pic:cNvPicPr/>
                  </pic:nvPicPr>
                  <pic:blipFill>
                    <a:blip r:embed="rId12"/>
                    <a:stretch>
                      <a:fillRect/>
                    </a:stretch>
                  </pic:blipFill>
                  <pic:spPr>
                    <a:xfrm>
                      <a:off x="0" y="0"/>
                      <a:ext cx="2520000" cy="1561316"/>
                    </a:xfrm>
                    <a:prstGeom prst="rect"/>
                  </pic:spPr>
                </pic:pic>
              </a:graphicData>
            </a:graphic>
          </wp:inline>
        </w:drawing>
      </w:r>
    </w:p>
    <w:p>
      <w:pPr>
        <w:spacing w:after="80" w:before="40"/>
        <w:jc w:val="center"/>
      </w:pPr>
      <w:r>
        <w:rPr>
          <w:rFonts w:ascii="Times New Roman" w:hAnsi="Times New Roman" w:eastAsia="Times New Roman"/>
          <w:b w:val="0"/>
          <w:i/>
          <w:sz w:val="18"/>
        </w:rPr>
        <w:t>Figure 4: Degree distribution of the factor network. Most nodes exhibit moderate connectivity.</w:t>
      </w:r>
    </w:p>
    <w:p>
      <w:pPr>
        <w:spacing w:before="160" w:after="60"/>
      </w:pPr>
      <w:r>
        <w:rPr>
          <w:rFonts w:ascii="Times New Roman" w:hAnsi="Times New Roman" w:eastAsia="Times New Roman"/>
          <w:b/>
          <w:i w:val="0"/>
          <w:sz w:val="22"/>
          <w:u w:val="single"/>
        </w:rPr>
        <w:t>6. Experiment Results</w:t>
      </w:r>
    </w:p>
    <w:p>
      <w:pPr>
        <w:spacing w:after="60" w:before="0"/>
        <w:ind w:firstLine="283"/>
      </w:pPr>
      <w:r>
        <w:rPr>
          <w:rFonts w:ascii="Times New Roman" w:hAnsi="Times New Roman" w:eastAsia="Times New Roman"/>
          <w:b w:val="0"/>
          <w:i w:val="0"/>
          <w:sz w:val="20"/>
        </w:rPr>
        <w:t>The network graph (Figure 2) reveals two distinct Louvain communities: one grouping market variables (AOT close, SET Index, trading volume, inflation) and another containing macroeconomic indicators (tourist arrivals, tourism revenue, USD/THB, policy rate). The USD/THB node exhibited the highest betweenness centrality (0.40), confirming its role as a bridge between the two communities. Network density was 0.52, indicating moderate interconnectivity. Among the eight models tested, Random Forest achieved the lowest validation RMSE (0.636), followed by ARIMA (0.555) and LightGBM (0.743). However, ARIMA's validation RMSE (0.555) was unexpectedly lower than RF on this data, likely due to the strong temporal autocorrelation in AOT's price series. On the held-out test set, RF generalised best with an R² of 0.253 versus ARIMA's 0.112 (Figure 6). Tree-based models (RF, XGBoost, LightGBM) consistently outperformed linear and deep-learning alternatives. SHAP analysis identified tourist arrivals and the USD/THB rate as the top two predictors across ensembles.</w:t>
      </w:r>
    </w:p>
    <w:p>
      <w:r>
        <w:drawing>
          <wp:inline xmlns:a="http://schemas.openxmlformats.org/drawingml/2006/main" xmlns:pic="http://schemas.openxmlformats.org/drawingml/2006/picture">
            <wp:extent cx="5040000" cy="3050303"/>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040000" cy="3050303"/>
                    </a:xfrm>
                    <a:prstGeom prst="rect"/>
                  </pic:spPr>
                </pic:pic>
              </a:graphicData>
            </a:graphic>
          </wp:inline>
        </w:drawing>
      </w:r>
    </w:p>
    <w:p>
      <w:pPr>
        <w:spacing w:after="80" w:before="40"/>
        <w:jc w:val="center"/>
      </w:pPr>
      <w:r>
        <w:rPr>
          <w:rFonts w:ascii="Times New Roman" w:hAnsi="Times New Roman" w:eastAsia="Times New Roman"/>
          <w:b w:val="0"/>
          <w:i/>
          <w:sz w:val="18"/>
        </w:rPr>
        <w:t>Figure 5: Validation RMSE, MAE, and R² across model families. Tree-based ensembles dominate.</w:t>
      </w:r>
    </w:p>
    <w:p>
      <w:r>
        <w:drawing>
          <wp:inline xmlns:a="http://schemas.openxmlformats.org/drawingml/2006/main" xmlns:pic="http://schemas.openxmlformats.org/drawingml/2006/picture">
            <wp:extent cx="5040000" cy="2863252"/>
            <wp:docPr id="6" name="Picture 6"/>
            <wp:cNvGraphicFramePr>
              <a:graphicFrameLocks noChangeAspect="1"/>
            </wp:cNvGraphicFramePr>
            <a:graphic>
              <a:graphicData uri="http://schemas.openxmlformats.org/drawingml/2006/picture">
                <pic:pic>
                  <pic:nvPicPr>
                    <pic:cNvPr id="0" name="predictions.png"/>
                    <pic:cNvPicPr/>
                  </pic:nvPicPr>
                  <pic:blipFill>
                    <a:blip r:embed="rId14"/>
                    <a:stretch>
                      <a:fillRect/>
                    </a:stretch>
                  </pic:blipFill>
                  <pic:spPr>
                    <a:xfrm>
                      <a:off x="0" y="0"/>
                      <a:ext cx="5040000" cy="2863252"/>
                    </a:xfrm>
                    <a:prstGeom prst="rect"/>
                  </pic:spPr>
                </pic:pic>
              </a:graphicData>
            </a:graphic>
          </wp:inline>
        </w:drawing>
      </w:r>
    </w:p>
    <w:p>
      <w:pPr>
        <w:spacing w:after="80" w:before="40"/>
        <w:jc w:val="center"/>
      </w:pPr>
      <w:r>
        <w:rPr>
          <w:rFonts w:ascii="Times New Roman" w:hAnsi="Times New Roman" w:eastAsia="Times New Roman"/>
          <w:b w:val="0"/>
          <w:i/>
          <w:sz w:val="18"/>
        </w:rPr>
        <w:t>Figure 6: Out-of-sample predictions from the best model (Random Forest). Actual vs predicted on held-out test set.</w:t>
      </w:r>
    </w:p>
    <w:p>
      <w:pPr>
        <w:spacing w:before="160" w:after="60"/>
      </w:pPr>
      <w:r>
        <w:rPr>
          <w:rFonts w:ascii="Times New Roman" w:hAnsi="Times New Roman" w:eastAsia="Times New Roman"/>
          <w:b/>
          <w:i w:val="0"/>
          <w:sz w:val="22"/>
          <w:u w:val="single"/>
        </w:rPr>
        <w:t>7. Conclusion</w:t>
      </w:r>
    </w:p>
    <w:p>
      <w:pPr>
        <w:spacing w:after="120" w:before="0"/>
        <w:ind w:firstLine="283"/>
      </w:pPr>
      <w:r>
        <w:rPr>
          <w:rFonts w:ascii="Times New Roman" w:hAnsi="Times New Roman" w:eastAsia="Times New Roman"/>
          <w:b w:val="0"/>
          <w:i w:val="0"/>
          <w:sz w:val="20"/>
        </w:rPr>
        <w:t>This study demonstrates that a network-analytic framework can reveal structural properties of financial factor interdependencies that conventional correlation analysis cannot. The Louvain community structure separates market from macroeconomic variables, while betweenness centrality identifies the USD/THB exchange rate as the primary bridge between these domains. Random Forest provides the most accurate and interpretable predictions among the eight models tested, with tourist arrivals and foreign exchange emerging as the dominant drivers of AOT stock price. The modular pipeline developed here is reproducible and extendable to other SET-listed stocks. Future work should incorporate higher-frequency data (weekly, daily), additional macro factors (oil prices, geopolitical risk indices), and real-time dashboard deployment for operational use.</w:t>
      </w:r>
    </w:p>
    <w:p>
      <w:pPr>
        <w:spacing w:before="200" w:after="80"/>
      </w:pPr>
      <w:r>
        <w:rPr>
          <w:rFonts w:ascii="Times New Roman" w:hAnsi="Times New Roman" w:eastAsia="Times New Roman"/>
          <w:b/>
          <w:i w:val="0"/>
          <w:sz w:val="20"/>
          <w:u w:val="single"/>
        </w:rPr>
        <w:t>References</w:t>
      </w:r>
    </w:p>
    <w:p>
      <w:pPr>
        <w:spacing w:after="20" w:before="0"/>
      </w:pPr>
      <w:r>
        <w:rPr>
          <w:rFonts w:ascii="Times New Roman" w:hAnsi="Times New Roman" w:eastAsia="Times New Roman"/>
          <w:b w:val="0"/>
          <w:i w:val="0"/>
          <w:sz w:val="18"/>
        </w:rPr>
        <w:t>[1] Ministry of Tourism and Sports (MOTS), "International Tourist Arrivals to Thailand," 2024. [Online]. Available: https://www.mots.go.th</w:t>
      </w:r>
    </w:p>
    <w:p>
      <w:pPr>
        <w:spacing w:after="20" w:before="0"/>
      </w:pPr>
      <w:r>
        <w:rPr>
          <w:rFonts w:ascii="Times New Roman" w:hAnsi="Times New Roman" w:eastAsia="Times New Roman"/>
          <w:b w:val="0"/>
          <w:i w:val="0"/>
          <w:sz w:val="18"/>
        </w:rPr>
        <w:t>[2] The Stock Exchange of Thailand, "SET OAQ Data API," 2024. [Online]. Available: https://www.set.or.th/set/oaq</w:t>
      </w:r>
    </w:p>
    <w:p>
      <w:pPr>
        <w:spacing w:after="20" w:before="0"/>
      </w:pPr>
      <w:r>
        <w:rPr>
          <w:rFonts w:ascii="Times New Roman" w:hAnsi="Times New Roman" w:eastAsia="Times New Roman"/>
          <w:b w:val="0"/>
          <w:i w:val="0"/>
          <w:sz w:val="18"/>
        </w:rPr>
        <w:t>[3] Bank of Thailand, "Economic and Financial Data," 2024. [Online]. Available: https://www.bot.or.th</w:t>
      </w:r>
    </w:p>
    <w:p>
      <w:pPr>
        <w:spacing w:after="20" w:before="0"/>
      </w:pPr>
      <w:r>
        <w:rPr>
          <w:rFonts w:ascii="Times New Roman" w:hAnsi="Times New Roman" w:eastAsia="Times New Roman"/>
          <w:b w:val="0"/>
          <w:i w:val="0"/>
          <w:sz w:val="18"/>
        </w:rPr>
        <w:t>[4] A. A. Hagberg, D. A. Schult, and P. J. Swart, "Exploring network structure, dynamics, and function using NetworkX," in Proc. 7th Python Sci. Conf. (SciPy), 2008, pp. 11–15.</w:t>
      </w:r>
    </w:p>
    <w:p>
      <w:pPr>
        <w:spacing w:after="20" w:before="0"/>
      </w:pPr>
      <w:r>
        <w:rPr>
          <w:rFonts w:ascii="Times New Roman" w:hAnsi="Times New Roman" w:eastAsia="Times New Roman"/>
          <w:b w:val="0"/>
          <w:i w:val="0"/>
          <w:sz w:val="18"/>
        </w:rPr>
        <w:t>[5] V. D. Blondel, J.-L. Guillaume, R. Lambiotte, and E. Lefebvre, "Fast unfolding of communities in large networks," J. Stat. Mech., vol. 2008, no. 10, p. P10008, 2008.</w:t>
      </w:r>
    </w:p>
    <w:p>
      <w:pPr>
        <w:spacing w:after="20" w:before="0"/>
      </w:pPr>
      <w:r>
        <w:rPr>
          <w:rFonts w:ascii="Times New Roman" w:hAnsi="Times New Roman" w:eastAsia="Times New Roman"/>
          <w:b w:val="0"/>
          <w:i w:val="0"/>
          <w:sz w:val="18"/>
        </w:rPr>
        <w:t>[6] S. M. Lundberg and S.-I. Lee, "A unified approach to interpreting model predictions," in Proc. Adv. Neural Inf. Process. Syst. (NeurIPS), 2017, pp. 4765–4774.</w:t>
      </w:r>
    </w:p>
    <w:p>
      <w:pPr>
        <w:spacing w:after="20" w:before="0"/>
      </w:pPr>
      <w:r>
        <w:rPr>
          <w:rFonts w:ascii="Times New Roman" w:hAnsi="Times New Roman" w:eastAsia="Times New Roman"/>
          <w:b w:val="0"/>
          <w:i w:val="0"/>
          <w:sz w:val="18"/>
        </w:rPr>
        <w:t>[7] T. Chen and C. Guestrin, "XGBoost: A scalable tree boosting system," in Proc. 22nd ACM SIGKDD, 2016, pp. 785–794.</w:t>
      </w:r>
    </w:p>
    <w:p>
      <w:pPr>
        <w:spacing w:after="20" w:before="0"/>
      </w:pPr>
      <w:r>
        <w:rPr>
          <w:rFonts w:ascii="Times New Roman" w:hAnsi="Times New Roman" w:eastAsia="Times New Roman"/>
          <w:b w:val="0"/>
          <w:i w:val="0"/>
          <w:sz w:val="18"/>
        </w:rPr>
        <w:t>[8] G. Ke et al., "LightGBM: A highly efficient gradient boosting decision tree," in Proc. Adv. Neural Inf. Process. Syst. (NeurIPS), 2017, pp. 3146–3154.</w:t>
      </w:r>
    </w:p>
    <w:p>
      <w:pPr>
        <w:spacing w:after="20" w:before="0"/>
      </w:pPr>
      <w:r>
        <w:rPr>
          <w:rFonts w:ascii="Times New Roman" w:hAnsi="Times New Roman" w:eastAsia="Times New Roman"/>
          <w:b w:val="0"/>
          <w:i w:val="0"/>
          <w:sz w:val="18"/>
        </w:rPr>
        <w:t>[9] S. J. Taylor and B. Letham, "Forecasting at scale," Amer. Stat., vol. 72, no. 1, pp. 37–45, 2018.</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