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exact"/>
        <w:jc w:val="center"/>
      </w:pPr>
      <w:r>
        <w:rPr>
          <w:rFonts w:ascii="Times New Roman" w:hAnsi="Times New Roman" w:eastAsia="Times New Roman"/>
          <w:b/>
          <w:i w:val="0"/>
          <w:sz w:val="24"/>
        </w:rPr>
        <w:t>Social Network Analysis of Factors Influencing AOT Stock Price:</w:t>
        <w:br/>
        <w:t>Integrating International Tourist Arrivals and Official Economic Data</w:t>
        <w:br/>
        <w:t>for Stock Price Prediction</w:t>
      </w:r>
    </w:p>
    <w:p>
      <w:pPr>
        <w:spacing w:after="0" w:before="0" w:line="240" w:lineRule="exact"/>
        <w:jc w:val="both"/>
      </w:pPr>
    </w:p>
    <w:p>
      <w:pPr>
        <w:spacing w:after="0" w:before="0" w:line="240" w:lineRule="exact"/>
        <w:jc w:val="center"/>
      </w:pPr>
      <w:r>
        <w:rPr>
          <w:rFonts w:ascii="Times New Roman" w:hAnsi="Times New Roman" w:eastAsia="Times New Roman"/>
          <w:b/>
          <w:i w:val="0"/>
          <w:sz w:val="20"/>
        </w:rPr>
        <w:t>Student Information</w:t>
      </w:r>
    </w:p>
    <w:p>
      <w:pPr>
        <w:spacing w:after="0" w:before="0" w:line="240" w:lineRule="exact"/>
        <w:jc w:val="center"/>
      </w:pPr>
      <w:r>
        <w:rPr>
          <w:rFonts w:ascii="Times New Roman" w:hAnsi="Times New Roman" w:eastAsia="Times New Roman"/>
          <w:b w:val="0"/>
          <w:i w:val="0"/>
          <w:sz w:val="20"/>
        </w:rPr>
        <w:t>First Name: _________________     Last Name: _________________</w:t>
      </w:r>
    </w:p>
    <w:p>
      <w:pPr>
        <w:spacing w:after="80" w:before="0" w:line="240" w:lineRule="exact"/>
        <w:jc w:val="center"/>
      </w:pPr>
      <w:r>
        <w:rPr>
          <w:rFonts w:ascii="Times New Roman" w:hAnsi="Times New Roman" w:eastAsia="Times New Roman"/>
          <w:b w:val="0"/>
          <w:i w:val="0"/>
          <w:sz w:val="20"/>
        </w:rPr>
        <w:t>Email: _________________</w:t>
      </w:r>
    </w:p>
    <w:p>
      <w:pPr>
        <w:spacing w:after="20" w:before="120" w:line="240" w:lineRule="exact"/>
        <w:jc w:val="both"/>
      </w:pPr>
      <w:r>
        <w:rPr>
          <w:rFonts w:ascii="Times New Roman" w:hAnsi="Times New Roman" w:eastAsia="Times New Roman"/>
          <w:b/>
          <w:i w:val="0"/>
          <w:sz w:val="20"/>
        </w:rPr>
        <w:t>Overview</w:t>
      </w:r>
    </w:p>
    <w:p>
      <w:pPr>
        <w:spacing w:after="0" w:before="0" w:line="240" w:lineRule="exact"/>
        <w:jc w:val="both"/>
      </w:pPr>
      <w:r>
        <w:rPr>
          <w:rFonts w:ascii="Times New Roman" w:hAnsi="Times New Roman" w:eastAsia="Times New Roman"/>
          <w:b w:val="0"/>
          <w:i w:val="0"/>
          <w:sz w:val="20"/>
        </w:rPr>
        <w:t>This study applies Social Network Analysis (SNA) and machine learning to quantify how macroeconomic and market factors influence the stock price of Airports of Thailand (AOT). Monthly data (2015–2024, 120 observations) was collected from four official Thai sources: SET, MOTS, BOT, and NESDC. Eight variables — AOT closing price, trading volume, SET Index, tourist arrivals, USD/THB rate, policy rate, CPI, and GDP — are modelled as nodes in a weighted network graph. Thirty-two engineered features were constructed, and eight model families were benchmarked for one-step-ahead prediction.</w:t>
      </w:r>
    </w:p>
    <w:p>
      <w:pPr>
        <w:spacing w:after="0" w:before="508000" w:line="240" w:lineRule="exact"/>
        <w:jc w:val="both"/>
      </w:pPr>
    </w:p>
    <w:p>
      <w:pPr>
        <w:keepNext/>
        <w:spacing w:after="0" w:before="0" w:line="200" w:lineRule="exact"/>
        <w:jc w:val="center"/>
      </w:pPr>
      <w:r>
        <w:drawing>
          <wp:inline xmlns:a="http://schemas.openxmlformats.org/drawingml/2006/main" xmlns:pic="http://schemas.openxmlformats.org/drawingml/2006/picture">
            <wp:extent cx="5040000" cy="2240000"/>
            <wp:docPr id="1" name="Picture 1"/>
            <wp:cNvGraphicFramePr>
              <a:graphicFrameLocks noChangeAspect="1"/>
            </wp:cNvGraphicFramePr>
            <a:graphic>
              <a:graphicData uri="http://schemas.openxmlformats.org/drawingml/2006/picture">
                <pic:pic>
                  <pic:nvPicPr>
                    <pic:cNvPr id="0" name="aot_price_tourist_overlay.png"/>
                    <pic:cNvPicPr/>
                  </pic:nvPicPr>
                  <pic:blipFill>
                    <a:blip r:embed="rId9"/>
                    <a:stretch>
                      <a:fillRect/>
                    </a:stretch>
                  </pic:blipFill>
                  <pic:spPr>
                    <a:xfrm>
                      <a:off x="0" y="0"/>
                      <a:ext cx="5040000" cy="2240000"/>
                    </a:xfrm>
                    <a:prstGeom prst="rect"/>
                  </pic:spPr>
                </pic:pic>
              </a:graphicData>
            </a:graphic>
          </wp:inline>
        </w:drawing>
      </w:r>
    </w:p>
    <w:p>
      <w:pPr>
        <w:spacing w:after="0" w:before="0" w:line="200" w:lineRule="exact"/>
        <w:jc w:val="center"/>
      </w:pPr>
      <w:r>
        <w:rPr>
          <w:rFonts w:ascii="Times New Roman" w:hAnsi="Times New Roman" w:eastAsia="Times New Roman"/>
          <w:b w:val="0"/>
          <w:i/>
          <w:sz w:val="16"/>
        </w:rPr>
        <w:t>Figure 1: AOT closing price and international tourist arrivals (2015–2024). The dual-axis overlay reveals strong co-movement, particularly during the COVID-19 pandemic and subsequent tourism recovery.</w:t>
      </w:r>
    </w:p>
    <w:p>
      <w:pPr>
        <w:spacing w:after="20" w:before="120" w:line="240" w:lineRule="exact"/>
        <w:jc w:val="both"/>
      </w:pPr>
      <w:r>
        <w:rPr>
          <w:rFonts w:ascii="Times New Roman" w:hAnsi="Times New Roman" w:eastAsia="Times New Roman"/>
          <w:b/>
          <w:i w:val="0"/>
          <w:sz w:val="20"/>
        </w:rPr>
        <w:t>More Specific Detail</w:t>
      </w:r>
    </w:p>
    <w:p>
      <w:pPr>
        <w:spacing w:after="0" w:before="0" w:line="240" w:lineRule="exact"/>
        <w:jc w:val="both"/>
      </w:pPr>
      <w:r>
        <w:rPr>
          <w:rFonts w:ascii="Times New Roman" w:hAnsi="Times New Roman" w:eastAsia="Times New Roman"/>
          <w:b w:val="0"/>
          <w:i w:val="0"/>
          <w:sz w:val="20"/>
        </w:rPr>
        <w:t>Engineered features include monthly and log returns, moving averages (windows 3, 6, 12), rolling standard deviations, lagged values (lags 1, 3, 6), tourist growth rates, and exchange rate changes — all constructed from past data only. The weighted graph was built using Pearson correlations (threshold |r| ≥ 0.3) with Louvain community detection and five centrality metrics (degree, betweenness, closeness, eigenvector, PageRank). Models benchmarked: Linear Regression, Random Forest, XGBoost, LightGBM, CatBoost, ARIMA, Prophet, and LSTM.</w:t>
      </w:r>
    </w:p>
    <w:p>
      <w:pPr>
        <w:spacing w:after="20" w:before="120" w:line="240" w:lineRule="exact"/>
        <w:jc w:val="both"/>
      </w:pPr>
      <w:r>
        <w:rPr>
          <w:rFonts w:ascii="Times New Roman" w:hAnsi="Times New Roman" w:eastAsia="Times New Roman"/>
          <w:b/>
          <w:i w:val="0"/>
          <w:sz w:val="20"/>
        </w:rPr>
        <w:t>Existing Issues and Motivation</w:t>
      </w:r>
    </w:p>
    <w:p>
      <w:pPr>
        <w:spacing w:after="0" w:before="0" w:line="240" w:lineRule="exact"/>
        <w:jc w:val="both"/>
      </w:pPr>
      <w:r>
        <w:rPr>
          <w:rFonts w:ascii="Times New Roman" w:hAnsi="Times New Roman" w:eastAsia="Times New Roman"/>
          <w:b w:val="0"/>
          <w:i w:val="0"/>
          <w:sz w:val="20"/>
        </w:rPr>
        <w:t>Existing AOT price studies depend on univariate models (ARIMA, GARCH) or single-factor regression, assuming factor independence and missing interdependency structures. Three motivations drive this work: (1) SNA identifies bridge variables through which shocks propagate; (2) Louvain clustering reveals interpretable factor groupings; (3) network-augmented features improve both predictive accuracy and interpretability over raw-factor-only models.</w:t>
      </w:r>
    </w:p>
    <w:p>
      <w:pPr>
        <w:spacing w:after="20" w:before="120" w:line="240" w:lineRule="exact"/>
        <w:jc w:val="both"/>
      </w:pPr>
      <w:r>
        <w:rPr>
          <w:rFonts w:ascii="Times New Roman" w:hAnsi="Times New Roman" w:eastAsia="Times New Roman"/>
          <w:b/>
          <w:i w:val="0"/>
          <w:sz w:val="20"/>
        </w:rPr>
        <w:t>Propose</w:t>
      </w:r>
    </w:p>
    <w:p>
      <w:pPr>
        <w:spacing w:after="0" w:before="0" w:line="240" w:lineRule="exact"/>
        <w:jc w:val="both"/>
      </w:pPr>
      <w:r>
        <w:rPr>
          <w:rFonts w:ascii="Times New Roman" w:hAnsi="Times New Roman" w:eastAsia="Times New Roman"/>
          <w:b w:val="0"/>
          <w:i w:val="0"/>
          <w:sz w:val="20"/>
        </w:rPr>
        <w:t>Stage I builds a Pearson-correlation graph (threshold |r| ≥ 0.3) and computes centrality metrics and community labels as additional predictors. Stage II trains eight model families on a chronological split (102 train / 6 validation / 12 test months), selecting the best model by validation RMSE and interpreting via SHAP. Implementation uses Python 3.12 with scikit-learn, XGBoost, LightGBM, CatBoost, Prophet, and TensorFlow.</w:t>
      </w:r>
    </w:p>
    <w:p>
      <w:pPr>
        <w:spacing w:after="0" w:before="508000" w:line="240" w:lineRule="exact"/>
        <w:jc w:val="both"/>
      </w:pPr>
    </w:p>
    <w:tbl>
      <w:tblPr>
        <w:tblW w:type="auto" w:w="0"/>
        <w:jc w:val="center"/>
        <w:tblLook w:firstColumn="1" w:firstRow="1" w:lastColumn="0" w:lastRow="0" w:noHBand="0" w:noVBand="1" w:val="04A0"/>
      </w:tblPr>
      <w:tblGrid>
        <w:gridCol w:w="4706"/>
        <w:gridCol w:w="4706"/>
      </w:tblGrid>
      <w:tr>
        <w:tc>
          <w:tcPr>
            <w:tcW w:type="dxa" w:w="4706"/>
            <w:tcBorders>
              <w:top w:val="none" w:sz="0" w:space="0" w:color="auto"/>
              <w:left w:val="none" w:sz="0" w:space="0" w:color="auto"/>
              <w:bottom w:val="none" w:sz="0" w:space="0" w:color="auto"/>
              <w:right w:val="none" w:sz="0" w:space="0" w:color="auto"/>
            </w:tcBorders>
            <w:tcMar>
              <w:top w:w="0" w:type="dxa"/>
              <w:left w:w="0" w:type="dxa"/>
              <w:bottom w:w="0" w:type="dxa"/>
              <w:right w:w="0" w:type="dxa"/>
            </w:tcMar>
          </w:tcPr>
          <w:p>
            <w:pPr>
              <w:jc w:val="center"/>
            </w:pPr>
            <w:r>
              <w:drawing>
                <wp:inline xmlns:a="http://schemas.openxmlformats.org/drawingml/2006/main" xmlns:pic="http://schemas.openxmlformats.org/drawingml/2006/picture">
                  <wp:extent cx="2304000" cy="1728000"/>
                  <wp:docPr id="2" name="Picture 2"/>
                  <wp:cNvGraphicFramePr>
                    <a:graphicFrameLocks noChangeAspect="1"/>
                  </wp:cNvGraphicFramePr>
                  <a:graphic>
                    <a:graphicData uri="http://schemas.openxmlformats.org/drawingml/2006/picture">
                      <pic:pic>
                        <pic:nvPicPr>
                          <pic:cNvPr id="0" name="network_graph.png"/>
                          <pic:cNvPicPr/>
                        </pic:nvPicPr>
                        <pic:blipFill>
                          <a:blip r:embed="rId10"/>
                          <a:stretch>
                            <a:fillRect/>
                          </a:stretch>
                        </pic:blipFill>
                        <pic:spPr>
                          <a:xfrm>
                            <a:off x="0" y="0"/>
                            <a:ext cx="2304000" cy="1728000"/>
                          </a:xfrm>
                          <a:prstGeom prst="rect"/>
                        </pic:spPr>
                      </pic:pic>
                    </a:graphicData>
                  </a:graphic>
                </wp:inline>
              </w:drawing>
            </w:r>
          </w:p>
        </w:tc>
        <w:tc>
          <w:tcPr>
            <w:tcW w:type="dxa" w:w="4706"/>
            <w:tcBorders>
              <w:top w:val="none" w:sz="0" w:space="0" w:color="auto"/>
              <w:left w:val="none" w:sz="0" w:space="0" w:color="auto"/>
              <w:bottom w:val="none" w:sz="0" w:space="0" w:color="auto"/>
              <w:right w:val="none" w:sz="0" w:space="0" w:color="auto"/>
            </w:tcBorders>
            <w:tcMar>
              <w:top w:w="0" w:type="dxa"/>
              <w:left w:w="0" w:type="dxa"/>
              <w:bottom w:w="0" w:type="dxa"/>
              <w:right w:w="0" w:type="dxa"/>
            </w:tcMar>
          </w:tcPr>
          <w:p>
            <w:pPr>
              <w:jc w:val="center"/>
            </w:pPr>
            <w:r>
              <w:drawing>
                <wp:inline xmlns:a="http://schemas.openxmlformats.org/drawingml/2006/main" xmlns:pic="http://schemas.openxmlformats.org/drawingml/2006/picture">
                  <wp:extent cx="2304000" cy="1728000"/>
                  <wp:docPr id="3" name="Picture 3"/>
                  <wp:cNvGraphicFramePr>
                    <a:graphicFrameLocks noChangeAspect="1"/>
                  </wp:cNvGraphicFramePr>
                  <a:graphic>
                    <a:graphicData uri="http://schemas.openxmlformats.org/drawingml/2006/picture">
                      <pic:pic>
                        <pic:nvPicPr>
                          <pic:cNvPr id="0" name="centrality_ranking.png"/>
                          <pic:cNvPicPr/>
                        </pic:nvPicPr>
                        <pic:blipFill>
                          <a:blip r:embed="rId11"/>
                          <a:stretch>
                            <a:fillRect/>
                          </a:stretch>
                        </pic:blipFill>
                        <pic:spPr>
                          <a:xfrm>
                            <a:off x="0" y="0"/>
                            <a:ext cx="2304000" cy="1728000"/>
                          </a:xfrm>
                          <a:prstGeom prst="rect"/>
                        </pic:spPr>
                      </pic:pic>
                    </a:graphicData>
                  </a:graphic>
                </wp:inline>
              </w:drawing>
            </w:r>
          </w:p>
        </w:tc>
      </w:tr>
    </w:tbl>
    <w:p>
      <w:pPr>
        <w:spacing w:after="0" w:before="0" w:line="200" w:lineRule="exact"/>
        <w:jc w:val="center"/>
      </w:pPr>
      <w:r>
        <w:rPr>
          <w:rFonts w:ascii="Times New Roman" w:hAnsi="Times New Roman" w:eastAsia="Times New Roman"/>
          <w:b w:val="0"/>
          <w:i/>
          <w:sz w:val="16"/>
        </w:rPr>
        <w:t>Figure 2: (a) Weighted network graph of eight factors with Louvain communities coloured. (b) Centrality rankings showing degree, betweenness, closeness, and eigenvector scores per variable.</w:t>
      </w:r>
    </w:p>
    <w:p>
      <w:pPr>
        <w:spacing w:after="20" w:before="120" w:line="240" w:lineRule="exact"/>
        <w:jc w:val="both"/>
      </w:pPr>
      <w:r>
        <w:rPr>
          <w:rFonts w:ascii="Times New Roman" w:hAnsi="Times New Roman" w:eastAsia="Times New Roman"/>
          <w:b/>
          <w:i w:val="0"/>
          <w:sz w:val="20"/>
        </w:rPr>
        <w:t>Experiment Setup</w:t>
      </w:r>
    </w:p>
    <w:p>
      <w:pPr>
        <w:spacing w:after="0" w:before="0" w:line="240" w:lineRule="exact"/>
        <w:jc w:val="both"/>
      </w:pPr>
      <w:r>
        <w:rPr>
          <w:rFonts w:ascii="Times New Roman" w:hAnsi="Times New Roman" w:eastAsia="Times New Roman"/>
          <w:b w:val="0"/>
          <w:i w:val="0"/>
          <w:sz w:val="20"/>
        </w:rPr>
        <w:t>Chronological split: 102 months training, 6 validation, 12 test. Features standardised (z-score). Tree models: 100–300 estimators with early stopping. LSTM: two layers (64, 32 units), dropout 0.2, look-back 6. ARIMA order via AIC minimisation. Prophet: yearly + monthly seasonality. Evaluation: RMSE, MAE, MAPE, R².</w:t>
      </w:r>
    </w:p>
    <w:p>
      <w:pPr>
        <w:spacing w:after="20" w:before="120" w:line="240" w:lineRule="exact"/>
        <w:jc w:val="both"/>
      </w:pPr>
      <w:r>
        <w:rPr>
          <w:rFonts w:ascii="Times New Roman" w:hAnsi="Times New Roman" w:eastAsia="Times New Roman"/>
          <w:b/>
          <w:i w:val="0"/>
          <w:sz w:val="20"/>
        </w:rPr>
        <w:t>Experiment Result</w:t>
      </w:r>
    </w:p>
    <w:p>
      <w:pPr>
        <w:spacing w:after="0" w:before="0" w:line="240" w:lineRule="exact"/>
        <w:jc w:val="both"/>
      </w:pPr>
      <w:r>
        <w:rPr>
          <w:rFonts w:ascii="Times New Roman" w:hAnsi="Times New Roman" w:eastAsia="Times New Roman"/>
          <w:b w:val="0"/>
          <w:i w:val="0"/>
          <w:sz w:val="20"/>
        </w:rPr>
        <w:t>Random Forest achieved the best performance (validation RMSE = 2.85, test R² = 0.31), outperforming XGBoost (3.12), LightGBM (3.41), CatBoost (3.53), and LSTM (3.98). Linear and time-series models lagged (LR: 4.12, ARIMA: 4.89, Prophet: 5.21). SHAP analysis identifies tourist arrivals (mean |SHAP| = 1.24) and USD/THB (0.98) as the top predictors, consistent with USD/THB having the highest betweenness centrality in the network. Network-derived features ranked in the top half of variable importance, confirming the SNA framework adds predictive value beyond raw factor correlations.</w:t>
      </w:r>
    </w:p>
    <w:p>
      <w:pPr>
        <w:spacing w:after="0" w:before="508000" w:line="240" w:lineRule="exact"/>
        <w:jc w:val="both"/>
      </w:pPr>
    </w:p>
    <w:p>
      <w:pPr>
        <w:keepNext/>
        <w:spacing w:after="0" w:before="0" w:line="200" w:lineRule="exact"/>
        <w:jc w:val="center"/>
      </w:pPr>
      <w:r>
        <w:drawing>
          <wp:inline xmlns:a="http://schemas.openxmlformats.org/drawingml/2006/main" xmlns:pic="http://schemas.openxmlformats.org/drawingml/2006/picture">
            <wp:extent cx="4320000" cy="3240000"/>
            <wp:docPr id="4" name="Picture 4"/>
            <wp:cNvGraphicFramePr>
              <a:graphicFrameLocks noChangeAspect="1"/>
            </wp:cNvGraphicFramePr>
            <a:graphic>
              <a:graphicData uri="http://schemas.openxmlformats.org/drawingml/2006/picture">
                <pic:pic>
                  <pic:nvPicPr>
                    <pic:cNvPr id="0" name="actual_vs_prediction.png"/>
                    <pic:cNvPicPr/>
                  </pic:nvPicPr>
                  <pic:blipFill>
                    <a:blip r:embed="rId12"/>
                    <a:stretch>
                      <a:fillRect/>
                    </a:stretch>
                  </pic:blipFill>
                  <pic:spPr>
                    <a:xfrm>
                      <a:off x="0" y="0"/>
                      <a:ext cx="4320000" cy="3240000"/>
                    </a:xfrm>
                    <a:prstGeom prst="rect"/>
                  </pic:spPr>
                </pic:pic>
              </a:graphicData>
            </a:graphic>
          </wp:inline>
        </w:drawing>
      </w:r>
    </w:p>
    <w:p>
      <w:pPr>
        <w:spacing w:after="0" w:before="0" w:line="200" w:lineRule="exact"/>
        <w:jc w:val="center"/>
      </w:pPr>
      <w:r>
        <w:rPr>
          <w:rFonts w:ascii="Times New Roman" w:hAnsi="Times New Roman" w:eastAsia="Times New Roman"/>
          <w:b w:val="0"/>
          <w:i/>
          <w:sz w:val="16"/>
        </w:rPr>
        <w:t>Figure 4: Actual versus predicted AOT closing price — Random Forest model on the 12-month test set (R² = 0.31). The model captures directional changes with moderate accuracy.</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