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jc w:val="left"/>
      </w:pPr>
      <w:r>
        <w:rPr>
          <w:rFonts w:ascii="Aptos Display" w:hAnsi="Aptos Display"/>
          <w:b/>
          <w:i w:val="0"/>
          <w:color w:val="000000"/>
          <w:sz w:val="56"/>
        </w:rPr>
        <w:t>CyberCorp Rapport de conception et audit</w:t>
      </w:r>
    </w:p>
    <w:p>
      <w:pPr>
        <w:pStyle w:val="Subtitle"/>
      </w:pPr>
      <w:r>
        <w:rPr>
          <w:rFonts w:ascii="Aptos" w:hAnsi="Aptos"/>
          <w:b w:val="0"/>
          <w:i w:val="0"/>
          <w:color w:val="595959"/>
          <w:sz w:val="30"/>
        </w:rPr>
        <w:t>Dossier de projet de Henri Pissa</w:t>
      </w:r>
    </w:p>
    <w:p>
      <w:pPr>
        <w:pStyle w:val="Subtitle"/>
      </w:pPr>
      <w:r>
        <w:rPr>
          <w:rFonts w:ascii="Aptos" w:hAnsi="Aptos"/>
          <w:b w:val="0"/>
          <w:i w:val="0"/>
          <w:color w:val="595959"/>
          <w:sz w:val="24"/>
        </w:rPr>
        <w:t>Situation au 20 octobre 2026</w:t>
      </w:r>
    </w:p>
    <w:p>
      <w:pPr>
        <w:spacing w:after="1920"/>
      </w:pPr>
    </w:p>
    <w:p>
      <w:r>
        <w:rPr>
          <w:rFonts w:ascii="Aptos" w:hAnsi="Aptos"/>
          <w:b/>
          <w:i w:val="0"/>
          <w:color w:val="000000"/>
          <w:sz w:val="22"/>
        </w:rPr>
        <w:t>Objet du dossier</w:t>
      </w:r>
    </w:p>
    <w:p>
      <w:pPr>
        <w:spacing w:after="240"/>
      </w:pPr>
      <w:r>
        <w:rPr>
          <w:rFonts w:ascii="Aptos" w:hAnsi="Aptos"/>
          <w:b w:val="0"/>
          <w:i w:val="0"/>
          <w:color w:val="000000"/>
          <w:sz w:val="21"/>
        </w:rPr>
        <w:t>Ce dossier présente la conception, le déploiement et l'audit d'un laboratoire Windows sécurisé pour CyberCorp, PME fictive de 25 collaborateurs. Il établit les contrôles effectivement démontrés, les preuves disponibles et les actions nécessaires avant la clôture de la recette.</w:t>
      </w:r>
    </w:p>
    <w:p>
      <w:r>
        <w:rPr>
          <w:rFonts w:ascii="Aptos" w:hAnsi="Aptos"/>
          <w:b/>
          <w:i w:val="0"/>
          <w:color w:val="000000"/>
          <w:sz w:val="22"/>
        </w:rPr>
        <w:t>Périmètre</w:t>
      </w:r>
    </w:p>
    <w:p>
      <w:r>
        <w:rPr>
          <w:rFonts w:ascii="Aptos" w:hAnsi="Aptos"/>
          <w:b w:val="0"/>
          <w:i w:val="0"/>
          <w:color w:val="000000"/>
          <w:sz w:val="21"/>
        </w:rPr>
        <w:t>Le laboratoire est isolé du réseau personnel, de l'hôte Windows, de Tailscale, d'Internet et de tout système tiers. Les personnes, l'organisation et les données de démonstration de CyberCorp sont fictives et servent exclusivement au projet pédagogique.</w:t>
      </w:r>
    </w:p>
    <w:p>
      <w:r>
        <w:br w:type="page"/>
      </w:r>
    </w:p>
    <w:p>
      <w:pPr>
        <w:pStyle w:val="Heading1"/>
        <w:keepNext/>
      </w:pPr>
      <w:r>
        <w:t>Structure du dossier</w:t>
      </w:r>
    </w:p>
    <w:p>
      <w:r>
        <w:rPr>
          <w:rFonts w:ascii="Aptos" w:hAnsi="Aptos"/>
          <w:b w:val="0"/>
          <w:i w:val="0"/>
          <w:color w:val="000000"/>
          <w:sz w:val="21"/>
        </w:rPr>
        <w:t>Le rapport suit le cycle du projet : contexte et besoins, conception de l'architecture, méthode d'audit, constats techniques, gouvernance et plan de finalisation.</w:t>
      </w:r>
    </w:p>
    <w:tbl>
      <w:tblPr>
        <w:tblStyle w:val="TableGrid"/>
        <w:tblW w:type="auto" w:w="0"/>
        <w:tblLayout w:type="fixed"/>
        <w:tblLook w:firstColumn="1" w:firstRow="1" w:lastColumn="0" w:lastRow="0" w:noHBand="0" w:noVBand="1" w:val="04A0"/>
      </w:tblPr>
      <w:tblGrid>
        <w:gridCol w:w="4958"/>
        <w:gridCol w:w="4958"/>
      </w:tblGrid>
      <w:tr>
        <w:trPr>
          <w:tblHeader w:val="true"/>
        </w:trPr>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8"/>
              </w:rPr>
              <w:t>Partie</w:t>
            </w:r>
          </w:p>
        </w:tc>
        <w:tc>
          <w:tcPr>
            <w:tcW w:type="dxa" w:w="754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8"/>
              </w:rPr>
              <w:t>Contenu</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8"/>
              </w:rPr>
              <w:t>1 à 2</w:t>
            </w:r>
          </w:p>
        </w:tc>
        <w:tc>
          <w:tcPr>
            <w:tcW w:type="dxa" w:w="75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Contexte, objectifs, compétences et présentation de l'organisation fictive.</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8"/>
              </w:rPr>
              <w:t>3 à 4</w:t>
            </w:r>
          </w:p>
        </w:tc>
        <w:tc>
          <w:tcPr>
            <w:tcW w:type="dxa" w:w="75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Cahier des charges, périmètre, responsabilités et méthode de collecte des preuves.</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8"/>
              </w:rPr>
              <w:t>5 à 6</w:t>
            </w:r>
          </w:p>
        </w:tc>
        <w:tc>
          <w:tcPr>
            <w:tcW w:type="dxa" w:w="75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Audit d'infrastructure, architecture, identités, partages, GPO et journalisation.</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8"/>
              </w:rPr>
              <w:t>7 à 9</w:t>
            </w:r>
          </w:p>
        </w:tc>
        <w:tc>
          <w:tcPr>
            <w:tcW w:type="dxa" w:w="75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Synthèse des résultats, audit organisationnel, conclusions et évolutions.</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8"/>
              </w:rPr>
              <w:t>10</w:t>
            </w:r>
          </w:p>
        </w:tc>
        <w:tc>
          <w:tcPr>
            <w:tcW w:type="dxa" w:w="75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Inventaire, outils de sécurité, références de preuve et plan de finalisation.</w:t>
            </w:r>
          </w:p>
        </w:tc>
      </w:tr>
    </w:tbl>
    <w:p>
      <w:pPr>
        <w:spacing w:after="40"/>
      </w:pPr>
    </w:p>
    <w:p>
      <w:pPr>
        <w:pStyle w:val="Heading1"/>
        <w:keepNext/>
      </w:pPr>
      <w:r>
        <w:t>Situation générale</w:t>
      </w:r>
    </w:p>
    <w:p>
      <w:r>
        <w:rPr>
          <w:rFonts w:ascii="Aptos" w:hAnsi="Aptos"/>
          <w:b w:val="0"/>
          <w:i w:val="0"/>
          <w:color w:val="000000"/>
          <w:sz w:val="21"/>
        </w:rPr>
        <w:t>La base technique du laboratoire est opérationnelle et plusieurs contrôles essentiels ont été démontrés. La conclusion d'audit reste volontairement nuancée : la recette globale n'est pas terminée et les scénarios restant à exécuter ne doivent pas être déclarés validés par anticipation.</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Domaine</w:t>
            </w:r>
          </w:p>
        </w:tc>
        <w:tc>
          <w:tcPr>
            <w:tcW w:type="dxa" w:w="130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État</w:t>
            </w:r>
          </w:p>
        </w:tc>
        <w:tc>
          <w:tcPr>
            <w:tcW w:type="dxa" w:w="567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Conclusion</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Socle Hyper V</w:t>
            </w:r>
          </w:p>
        </w:tc>
        <w:tc>
          <w:tcPr>
            <w:tcW w:type="dxa" w:w="13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Démontré</w:t>
            </w:r>
          </w:p>
        </w:tc>
        <w:tc>
          <w:tcPr>
            <w:tcW w:type="dxa" w:w="56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Exports préalables, commutateurs isolés et VM reconstruites.</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Segmentation pfSense</w:t>
            </w:r>
          </w:p>
        </w:tc>
        <w:tc>
          <w:tcPr>
            <w:tcW w:type="dxa" w:w="130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Démontré</w:t>
            </w:r>
          </w:p>
        </w:tc>
        <w:tc>
          <w:tcPr>
            <w:tcW w:type="dxa" w:w="567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Règles de blocage AUDIT et LAN vers AUDIT observées et journalisées.</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Identités et partages</w:t>
            </w:r>
          </w:p>
        </w:tc>
        <w:tc>
          <w:tcPr>
            <w:tcW w:type="dxa" w:w="13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Démontré</w:t>
            </w:r>
          </w:p>
        </w:tc>
        <w:tc>
          <w:tcPr>
            <w:tcW w:type="dxa" w:w="56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Domaine, groupes, ACL et tests Finance documentés.</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Durcissement poste</w:t>
            </w:r>
          </w:p>
        </w:tc>
        <w:tc>
          <w:tcPr>
            <w:tcW w:type="dxa" w:w="130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Démontré</w:t>
            </w:r>
          </w:p>
        </w:tc>
        <w:tc>
          <w:tcPr>
            <w:tcW w:type="dxa" w:w="567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GPO, pare-feu, Defender, SMB1 et accès administrateur contrôlés.</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Détection et gouvernance</w:t>
            </w:r>
          </w:p>
        </w:tc>
        <w:tc>
          <w:tcPr>
            <w:tcW w:type="dxa" w:w="13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Démontré</w:t>
            </w:r>
          </w:p>
        </w:tc>
        <w:tc>
          <w:tcPr>
            <w:tcW w:type="dxa" w:w="56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Sysmon, Hayabusa et GPOZaurr exécutés avec preuves exportées.</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Recette complète T01 à T15</w:t>
            </w:r>
          </w:p>
        </w:tc>
        <w:tc>
          <w:tcPr>
            <w:tcW w:type="dxa" w:w="130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À finaliser</w:t>
            </w:r>
          </w:p>
        </w:tc>
        <w:tc>
          <w:tcPr>
            <w:tcW w:type="dxa" w:w="567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T10 est validé ; les autres scénarios doivent être rejoués et clôturés.</w:t>
            </w:r>
          </w:p>
        </w:tc>
      </w:tr>
    </w:tbl>
    <w:p>
      <w:pPr>
        <w:spacing w:after="40"/>
      </w:pPr>
    </w:p>
    <w:p>
      <w:pPr>
        <w:pStyle w:val="Heading1"/>
        <w:keepNext/>
      </w:pPr>
      <w:r>
        <w:t>1 Introduction</w:t>
      </w:r>
    </w:p>
    <w:p>
      <w:pPr>
        <w:pStyle w:val="Heading2"/>
        <w:keepNext/>
      </w:pPr>
      <w:r>
        <w:t>1 1 Contexte général</w:t>
      </w:r>
    </w:p>
    <w:p>
      <w:r>
        <w:rPr>
          <w:rFonts w:ascii="Aptos" w:hAnsi="Aptos"/>
          <w:b w:val="0"/>
          <w:i w:val="0"/>
          <w:color w:val="000000"/>
          <w:sz w:val="21"/>
        </w:rPr>
        <w:t>CyberCorp est une PME fictive de vingt-cinq collaborateurs. Son laboratoire de projet s'appuie sur un environnement Windows virtualisé comprenant un pare-feu, un contrôleur de domaine, un poste métier et une station d'audit. Les opérations sensibles sont réalisées dans un périmètre maîtrisé afin de préserver la disponibilité et la sécurité des services simulés.</w:t>
      </w:r>
    </w:p>
    <w:p>
      <w:r>
        <w:rPr>
          <w:rFonts w:ascii="Aptos" w:hAnsi="Aptos"/>
          <w:b w:val="0"/>
          <w:i w:val="0"/>
          <w:color w:val="000000"/>
          <w:sz w:val="21"/>
        </w:rPr>
        <w:t>Le présent rapport consolide l'architecture, les choix de sécurité, les constats d'audit et les actions d'amélioration identifiés au 20 octobre 2026. Les conclusions reposent sur les fichiers de configuration versionnés, le journal de déploiement, les exports de configuration, les résultats de tests et les preuves techniques disponibles.</w:t>
      </w:r>
    </w:p>
    <w:p>
      <w:pPr>
        <w:pStyle w:val="Heading2"/>
        <w:keepNext/>
      </w:pPr>
      <w:r>
        <w:t>1 2 Objectif de l audit</w:t>
      </w:r>
    </w:p>
    <w:p>
      <w:r>
        <w:rPr>
          <w:rFonts w:ascii="Aptos" w:hAnsi="Aptos"/>
          <w:b w:val="0"/>
          <w:i w:val="0"/>
          <w:color w:val="000000"/>
          <w:sz w:val="21"/>
        </w:rPr>
        <w:t>L'objectif est de vérifier que le laboratoire répond à quatre exigences : segmenter les réseaux, maîtriser les identités et les accès, produire des preuves d'administration et de détection, puis documenter les limites restantes. L'audit n'inclut ni recherche de vulnérabilités sur un réseau tiers ni exploitation intrusive.</w:t>
      </w:r>
    </w:p>
    <w:p>
      <w:r>
        <w:rPr>
          <w:rFonts w:ascii="Aptos" w:hAnsi="Aptos"/>
          <w:b w:val="0"/>
          <w:i w:val="0"/>
          <w:color w:val="000000"/>
          <w:sz w:val="21"/>
        </w:rPr>
        <w:t>La démarche fournit une assurance raisonnable sur les contrôles examinés. Un constat est qualifié de démontré lorsqu'il est lié à une configuration effective et à une preuve observable ; il est qualifié de partiellement démontré lorsqu'une partie de la chaîne de preuve ou du contre-test reste à compléter.</w:t>
      </w:r>
    </w:p>
    <w:p>
      <w:pPr>
        <w:pStyle w:val="Heading2"/>
        <w:keepNext/>
      </w:pPr>
      <w:r>
        <w:t>1 3 Compétences mises en œuvre</w:t>
      </w:r>
    </w:p>
    <w:p>
      <w:r>
        <w:rPr>
          <w:rFonts w:ascii="Aptos" w:hAnsi="Aptos"/>
          <w:b w:val="0"/>
          <w:i w:val="0"/>
          <w:color w:val="000000"/>
          <w:sz w:val="21"/>
        </w:rPr>
        <w:t>Le projet mobilise la conception d'une architecture virtualisée et segmentée, l'administration Windows Server et Active Directory, la gestion de pfSense, le contrôle des accès, le durcissement de postes, la collecte de journaux, l'analyse hors ligne et l'automatisation par scripts PowerShell et fichiers CSV versionnés.</w:t>
      </w:r>
    </w:p>
    <w:tbl>
      <w:tblPr>
        <w:tblStyle w:val="TableGrid"/>
        <w:tblW w:type="auto" w:w="0"/>
        <w:tblLayout w:type="fixed"/>
        <w:tblLook w:firstColumn="1" w:firstRow="1" w:lastColumn="0" w:lastRow="0" w:noHBand="0" w:noVBand="1" w:val="04A0"/>
      </w:tblPr>
      <w:tblGrid>
        <w:gridCol w:w="4958"/>
        <w:gridCol w:w="4958"/>
      </w:tblGrid>
      <w:tr>
        <w:trPr>
          <w:tblHeader w:val="true"/>
        </w:trPr>
        <w:tc>
          <w:tcPr>
            <w:tcW w:type="dxa" w:w="232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Bloc de compétences</w:t>
            </w:r>
          </w:p>
        </w:tc>
        <w:tc>
          <w:tcPr>
            <w:tcW w:type="dxa" w:w="691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Application dans CyberCorp</w:t>
            </w:r>
          </w:p>
        </w:tc>
      </w:tr>
      <w:tr>
        <w:trPr>
          <w:cantSplit/>
        </w:trPr>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Analyse et conception</w:t>
            </w:r>
          </w:p>
        </w:tc>
        <w:tc>
          <w:tcPr>
            <w:tcW w:type="dxa" w:w="69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Architecture pour 25 collaborateurs, plan IP, zonage LAN, AUDIT et maintenance.</w:t>
            </w:r>
          </w:p>
        </w:tc>
      </w:tr>
      <w:tr>
        <w:trPr>
          <w:cantSplit/>
        </w:trPr>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Systèmes virtualisés</w:t>
            </w:r>
          </w:p>
        </w:tc>
        <w:tc>
          <w:tcPr>
            <w:tcW w:type="dxa" w:w="69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Exports préalables et VM Hyper V CC PFS01, CC DC01, CC W11 01 et CC KALI01.</w:t>
            </w:r>
          </w:p>
        </w:tc>
      </w:tr>
      <w:tr>
        <w:trPr>
          <w:cantSplit/>
        </w:trPr>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Identités et accès</w:t>
            </w:r>
          </w:p>
        </w:tc>
        <w:tc>
          <w:tcPr>
            <w:tcW w:type="dxa" w:w="69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Domaine ad.cybercorp.test, unités d'organisation, comptes, groupes et permissions.</w:t>
            </w:r>
          </w:p>
        </w:tc>
      </w:tr>
      <w:tr>
        <w:trPr>
          <w:cantSplit/>
        </w:trPr>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Réseau et sécurité</w:t>
            </w:r>
          </w:p>
        </w:tc>
        <w:tc>
          <w:tcPr>
            <w:tcW w:type="dxa" w:w="69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Commutateurs privés, pfSense, ACL, GPO, pare-feu Windows et moindre privilège.</w:t>
            </w:r>
          </w:p>
        </w:tc>
      </w:tr>
      <w:tr>
        <w:trPr>
          <w:cantSplit/>
        </w:trPr>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Audit et preuve</w:t>
            </w:r>
          </w:p>
        </w:tc>
        <w:tc>
          <w:tcPr>
            <w:tcW w:type="dxa" w:w="69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Recette, journaux, Sysmon, Hayabusa, GPOZaurr et empreintes SHA 256.</w:t>
            </w:r>
          </w:p>
        </w:tc>
      </w:tr>
      <w:tr>
        <w:trPr>
          <w:cantSplit/>
        </w:trPr>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Supervision</w:t>
            </w:r>
          </w:p>
        </w:tc>
        <w:tc>
          <w:tcPr>
            <w:tcW w:type="dxa" w:w="69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Tableau de bord privé en lecture seule pour l'état des VM, de la mémoire et de la recette.</w:t>
            </w:r>
          </w:p>
        </w:tc>
      </w:tr>
    </w:tbl>
    <w:p>
      <w:pPr>
        <w:spacing w:after="40"/>
      </w:pPr>
    </w:p>
    <w:p>
      <w:pPr>
        <w:pStyle w:val="Heading1"/>
        <w:keepNext/>
      </w:pPr>
      <w:r>
        <w:t>2 Présentation de CyberCorp</w:t>
      </w:r>
    </w:p>
    <w:p>
      <w:pPr>
        <w:pStyle w:val="Heading2"/>
        <w:keepNext/>
      </w:pPr>
      <w:r>
        <w:t>2 1 Description de l organisation</w:t>
      </w:r>
    </w:p>
    <w:p>
      <w:r>
        <w:rPr>
          <w:rFonts w:ascii="Aptos" w:hAnsi="Aptos"/>
          <w:b w:val="0"/>
          <w:i w:val="0"/>
          <w:color w:val="000000"/>
          <w:sz w:val="21"/>
        </w:rPr>
        <w:t>CyberCorp est une organisation fictive de conseil et d'accompagnement numérique. Son scénario métier repose sur une approche pragmatique : rendre les choix techniques lisibles, maîtrisables et sécurisés. Ses valeurs sont la clarté, la responsabilité, la coopération et la sobriété.</w:t>
      </w:r>
    </w:p>
    <w:p>
      <w:pPr>
        <w:pStyle w:val="Heading2"/>
        <w:keepNext/>
      </w:pPr>
      <w:r>
        <w:t>2 2 Effectifs et organisation</w:t>
      </w:r>
    </w:p>
    <w:p>
      <w:pPr>
        <w:spacing w:after="100"/>
      </w:pPr>
      <w:r>
        <w:rPr>
          <w:rFonts w:ascii="Aptos" w:hAnsi="Aptos"/>
          <w:b w:val="0"/>
          <w:color w:val="000000"/>
          <w:sz w:val="19"/>
        </w:rPr>
        <w:t>Le pôle informatique dépend de la direction des opérations. Il sépare l'administration des systèmes et le support afin de distinguer les changements d'infrastructure des demandes quotidiennes.</w:t>
      </w:r>
    </w:p>
    <w:tbl>
      <w:tblPr>
        <w:tblW w:type="auto" w:w="0"/>
        <w:tblLayout w:type="fixed"/>
        <w:tblLook w:firstColumn="1" w:firstRow="1" w:lastColumn="0" w:lastRow="0" w:noHBand="0" w:noVBand="1" w:val="04A0"/>
      </w:tblPr>
      <w:tblGrid>
        <w:gridCol w:w="3305"/>
        <w:gridCol w:w="3305"/>
        <w:gridCol w:w="3305"/>
      </w:tblGrid>
      <w:tr>
        <w:trPr>
          <w:cantSplit/>
          <w:tblHeader w:val="true"/>
        </w:trPr>
        <w:tc>
          <w:tcPr>
            <w:tcW w:type="dxa" w:w="9072"/>
            <w:gridSpan w:val="3"/>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Direction générale</w:t>
              <w:br/>
              <w:t>Camille Moreau</w:t>
            </w:r>
          </w:p>
        </w:tc>
      </w:tr>
      <w:tr>
        <w:trPr>
          <w:cantSplit/>
        </w:trPr>
        <w:tc>
          <w:tcPr>
            <w:tcW w:type="dxa" w:w="9072"/>
            <w:gridSpan w:val="3"/>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072"/>
            <w:gridSpan w:val="3"/>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Direction des opérations</w:t>
              <w:br/>
              <w:t>Alex Martin</w:t>
            </w:r>
          </w:p>
        </w:tc>
      </w:tr>
      <w:tr>
        <w:trPr>
          <w:cantSplit/>
        </w:trPr>
        <w:tc>
          <w:tcPr>
            <w:tcW w:type="dxa" w:w="9072"/>
            <w:gridSpan w:val="3"/>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072"/>
            <w:gridSpan w:val="3"/>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Pôle informatique</w:t>
            </w:r>
          </w:p>
        </w:tc>
      </w:tr>
      <w:tr>
        <w:trPr>
          <w:cantSplit/>
        </w:trPr>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Raphaël Henry</w:t>
              <w:br/>
              <w:t>Administrateur systèmes</w:t>
              <w:br/>
              <w:t>Identités, serveurs, réseau et sauvegardes</w:t>
            </w:r>
          </w:p>
        </w:tc>
        <w:tc>
          <w:tcPr>
            <w:tcW w:type="dxa" w:w="294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Salomé Renaud</w:t>
              <w:br/>
              <w:t>Support informatique</w:t>
              <w:br/>
              <w:t>Postes, assistance et suivi des incidents</w:t>
            </w:r>
          </w:p>
        </w:tc>
      </w:tr>
    </w:tbl>
    <w:p>
      <w:pPr>
        <w:spacing w:after="100"/>
      </w:pPr>
      <w:r>
        <w:rPr>
          <w:rFonts w:ascii="Aptos" w:hAnsi="Aptos"/>
          <w:b w:val="0"/>
          <w:color w:val="000000"/>
          <w:sz w:val="19"/>
        </w:rPr>
        <w:t>Les comptes d'administration restent dédiés aux opérations d'administration. Les comptes métier du pôle informatique servent aux activités courantes et ne confèrent pas de privilège administratif implicite.</w:t>
      </w:r>
    </w:p>
    <w:p>
      <w:pPr>
        <w:pStyle w:val="Heading3"/>
        <w:spacing w:after="100"/>
        <w:keepNext/>
      </w:pPr>
      <w:r>
        <w:rPr>
          <w:rFonts w:ascii="Aptos" w:hAnsi="Aptos"/>
          <w:b w:val="0"/>
          <w:color w:val="000000"/>
          <w:sz w:val="21"/>
        </w:rPr>
        <w:t>Matrice 1 Responsabilités du projet</w:t>
      </w:r>
    </w:p>
    <w:p>
      <w:pPr>
        <w:spacing w:after="100"/>
      </w:pPr>
      <w:r>
        <w:rPr>
          <w:rFonts w:ascii="Aptos" w:hAnsi="Aptos"/>
          <w:b w:val="0"/>
          <w:color w:val="000000"/>
          <w:sz w:val="19"/>
        </w:rPr>
        <w:t>Légende : R réalise, A valide et porte la responsabilité finale, C est consulté, I est informé.</w:t>
      </w:r>
    </w:p>
    <w:tbl>
      <w:tblPr>
        <w:tblW w:type="auto" w:w="0"/>
        <w:tblLayout w:type="fixed"/>
        <w:tblLook w:firstColumn="1" w:firstRow="1" w:lastColumn="0" w:lastRow="0" w:noHBand="0" w:noVBand="1" w:val="04A0"/>
      </w:tblPr>
      <w:tblGrid>
        <w:gridCol w:w="1983"/>
        <w:gridCol w:w="1983"/>
        <w:gridCol w:w="1983"/>
        <w:gridCol w:w="1983"/>
        <w:gridCol w:w="1983"/>
      </w:tblGrid>
      <w:tr>
        <w:trPr>
          <w:tblHeader/>
        </w:trPr>
        <w:tc>
          <w:tcPr>
            <w:tcW w:type="dxa" w:w="283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Activité</w:t>
            </w:r>
          </w:p>
        </w:tc>
        <w:tc>
          <w:tcPr>
            <w:tcW w:type="dxa" w:w="147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Direction</w:t>
            </w:r>
          </w:p>
        </w:tc>
        <w:tc>
          <w:tcPr>
            <w:tcW w:type="dxa" w:w="221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Pôle informatique</w:t>
            </w:r>
          </w:p>
        </w:tc>
        <w:tc>
          <w:tcPr>
            <w:tcW w:type="dxa" w:w="187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Équipes métier</w:t>
            </w:r>
          </w:p>
        </w:tc>
        <w:tc>
          <w:tcPr>
            <w:tcW w:type="dxa" w:w="192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Projet CyberCorp</w:t>
            </w:r>
          </w:p>
        </w:tc>
      </w:tr>
      <w:tr>
        <w:trPr>
          <w:cantSplit/>
        </w:trPr>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Valider besoins et périmètre</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1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92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Concevoir l'architecture</w:t>
            </w:r>
          </w:p>
        </w:tc>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221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192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 R</w:t>
            </w:r>
          </w:p>
        </w:tc>
      </w:tr>
      <w:tr>
        <w:trPr>
          <w:cantSplit/>
        </w:trPr>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Configurer VM, réseau et pare feu</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221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 R</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192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Gérer identités, GPO et partages</w:t>
            </w:r>
          </w:p>
        </w:tc>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221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 R</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92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83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Exécuter la recette et conserver les preuves</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221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92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 R</w:t>
            </w:r>
          </w:p>
        </w:tc>
      </w:tr>
      <w:tr>
        <w:trPr>
          <w:cantSplit/>
        </w:trPr>
        <w:tc>
          <w:tcPr>
            <w:tcW w:type="dxa" w:w="283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Arbitrer les risques et le plan d'action</w:t>
            </w:r>
          </w:p>
        </w:tc>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1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92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bl>
    <w:p>
      <w:pPr>
        <w:pStyle w:val="Heading3"/>
        <w:spacing w:after="100"/>
        <w:keepNext/>
      </w:pPr>
      <w:r>
        <w:rPr>
          <w:rFonts w:ascii="Aptos" w:hAnsi="Aptos"/>
          <w:b w:val="0"/>
          <w:color w:val="000000"/>
          <w:sz w:val="21"/>
        </w:rPr>
        <w:t>Calendrier 1 Déroulement de l audit</w:t>
      </w:r>
    </w:p>
    <w:tbl>
      <w:tblPr>
        <w:tblW w:type="auto" w:w="0"/>
        <w:tblLayout w:type="fixed"/>
        <w:tblLook w:firstColumn="1" w:firstRow="1" w:lastColumn="0" w:lastRow="0" w:noHBand="0" w:noVBand="1" w:val="04A0"/>
      </w:tblPr>
      <w:tblGrid>
        <w:gridCol w:w="3305"/>
        <w:gridCol w:w="3305"/>
        <w:gridCol w:w="3305"/>
      </w:tblGrid>
      <w:tr>
        <w:trPr>
          <w:tblHeader/>
        </w:trPr>
        <w:tc>
          <w:tcPr>
            <w:tcW w:type="dxa" w:w="181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5"/>
              </w:rPr>
              <w:t>Période</w:t>
            </w:r>
          </w:p>
        </w:tc>
        <w:tc>
          <w:tcPr>
            <w:tcW w:type="dxa" w:w="402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5"/>
              </w:rPr>
              <w:t>Jalon</w:t>
            </w:r>
          </w:p>
        </w:tc>
        <w:tc>
          <w:tcPr>
            <w:tcW w:type="dxa" w:w="447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5"/>
              </w:rPr>
              <w:t>Résultat ou preuve</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13 octobre 2026</w:t>
            </w:r>
          </w:p>
        </w:tc>
        <w:tc>
          <w:tcPr>
            <w:tcW w:type="dxa" w:w="402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Inventaire initial et export des anciennes VM.</w:t>
            </w:r>
          </w:p>
        </w:tc>
        <w:tc>
          <w:tcPr>
            <w:tcW w:type="dxa" w:w="447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Décision de conservation et exports vérifiés.</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13 octobre 2026</w:t>
            </w:r>
          </w:p>
        </w:tc>
        <w:tc>
          <w:tcPr>
            <w:tcW w:type="dxa" w:w="402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Création des commutateurs isolés.</w:t>
            </w:r>
          </w:p>
        </w:tc>
        <w:tc>
          <w:tcPr>
            <w:tcW w:type="dxa" w:w="447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CC LAN, CC AUDIT et CC WAN MAINT validés.</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17 au 18 octobre 2026</w:t>
            </w:r>
          </w:p>
        </w:tc>
        <w:tc>
          <w:tcPr>
            <w:tcW w:type="dxa" w:w="402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Reconstruction et confinement de pfSense.</w:t>
            </w:r>
          </w:p>
        </w:tc>
        <w:tc>
          <w:tcPr>
            <w:tcW w:type="dxa" w:w="447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Interfaces, règles, sauvegarde de configuration et baseline.</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18 au 19 octobre 2026</w:t>
            </w:r>
          </w:p>
        </w:tc>
        <w:tc>
          <w:tcPr>
            <w:tcW w:type="dxa" w:w="402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Reconstruction des VM Windows et import de Kali.</w:t>
            </w:r>
          </w:p>
        </w:tc>
        <w:tc>
          <w:tcPr>
            <w:tcW w:type="dxa" w:w="447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VM du laboratoire disponibles dans les profils définis.</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19 au 20 octobre 2026</w:t>
            </w:r>
          </w:p>
        </w:tc>
        <w:tc>
          <w:tcPr>
            <w:tcW w:type="dxa" w:w="402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Identités, partages, GPO et tests fonctionnels.</w:t>
            </w:r>
          </w:p>
        </w:tc>
        <w:tc>
          <w:tcPr>
            <w:tcW w:type="dxa" w:w="447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AD, ACL, gpresult et contre tests documentés.</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20 octobre 2026</w:t>
            </w:r>
          </w:p>
        </w:tc>
        <w:tc>
          <w:tcPr>
            <w:tcW w:type="dxa" w:w="402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Gouvernance GPO et télémétrie endpoint.</w:t>
            </w:r>
          </w:p>
        </w:tc>
        <w:tc>
          <w:tcPr>
            <w:tcW w:type="dxa" w:w="447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GPOZaurr, Sysmon, EVTX et chronologie Hayabusa.</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5"/>
              </w:rPr>
              <w:t>Après le 20 octobre 2026</w:t>
            </w:r>
          </w:p>
        </w:tc>
        <w:tc>
          <w:tcPr>
            <w:tcW w:type="dxa" w:w="402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Clôture de la recette T01 à T15.</w:t>
            </w:r>
          </w:p>
        </w:tc>
        <w:tc>
          <w:tcPr>
            <w:tcW w:type="dxa" w:w="447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5"/>
              </w:rPr>
              <w:t>Scénarios restants, restauration, RTO RPO et archivage.</w:t>
            </w:r>
          </w:p>
        </w:tc>
      </w:tr>
    </w:tbl>
    <w:p>
      <w:pPr>
        <w:pStyle w:val="Heading3"/>
        <w:spacing w:after="100"/>
        <w:keepNext/>
      </w:pPr>
      <w:r>
        <w:rPr>
          <w:rFonts w:ascii="Aptos" w:hAnsi="Aptos"/>
          <w:b w:val="0"/>
          <w:color w:val="000000"/>
          <w:sz w:val="21"/>
        </w:rPr>
        <w:t>Schéma 2 Déroulement général de l audit</w:t>
      </w:r>
    </w:p>
    <w:p>
      <w:pPr>
        <w:spacing w:after="100"/>
      </w:pPr>
      <w:r>
        <w:rPr>
          <w:rFonts w:ascii="Aptos" w:hAnsi="Aptos"/>
          <w:b w:val="0"/>
          <w:color w:val="000000"/>
          <w:sz w:val="19"/>
        </w:rPr>
        <w:t>Chaque étape produit une preuve exploitable et la phase de contre test confirme que la mesure fonctionne sans introduire de régression métier.</w:t>
      </w:r>
    </w:p>
    <w:tbl>
      <w:tblPr>
        <w:tblW w:type="auto" w:w="0"/>
        <w:tblLayout w:type="fixed"/>
        <w:tblLook w:firstColumn="1" w:firstRow="1" w:lastColumn="0" w:lastRow="0" w:noHBand="0" w:noVBand="1" w:val="04A0"/>
      </w:tblPr>
      <w:tblGrid>
        <w:gridCol w:w="9916"/>
      </w:tblGrid>
      <w:tr>
        <w:trPr>
          <w:cantSplit/>
          <w:tblHeader w:val="true"/>
        </w:trPr>
        <w:tc>
          <w:tcPr>
            <w:tcW w:type="dxa" w:w="992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1 Inventorier</w:t>
              <w:br/>
              <w:t>Réseaux, ressources et sauvegardes</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92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2 Préparer</w:t>
              <w:br/>
              <w:t>Commutateurs isolés et profils de VM</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92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3 Configurer</w:t>
              <w:br/>
              <w:t>Identités, partages, GPO et pare feu</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92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4 Vérifier</w:t>
              <w:br/>
              <w:t>Tests fonctionnels, contrôles et journaux</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92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5 Contre tester</w:t>
              <w:br/>
              <w:t>Retrait des exceptions et contrôle de non régression</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w:t>
            </w:r>
          </w:p>
        </w:tc>
      </w:tr>
      <w:tr>
        <w:trPr>
          <w:cantSplit/>
        </w:trPr>
        <w:tc>
          <w:tcPr>
            <w:tcW w:type="dxa" w:w="992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6 Conserver et décider</w:t>
              <w:br/>
              <w:t>Preuves expurgées, qualification et plan d action</w:t>
            </w:r>
          </w:p>
        </w:tc>
      </w:tr>
    </w:tbl>
    <w:p>
      <w:pPr>
        <w:pStyle w:val="Heading3"/>
        <w:spacing w:after="100"/>
        <w:keepNext/>
      </w:pPr>
      <w:r>
        <w:rPr>
          <w:rFonts w:ascii="Aptos" w:hAnsi="Aptos"/>
          <w:b w:val="0"/>
          <w:color w:val="000000"/>
          <w:sz w:val="21"/>
        </w:rPr>
        <w:t>Schéma 3 Structure de l infrastructure</w:t>
      </w:r>
    </w:p>
    <w:p>
      <w:pPr>
        <w:spacing w:after="100"/>
      </w:pPr>
      <w:r>
        <w:rPr>
          <w:rFonts w:ascii="Aptos" w:hAnsi="Aptos"/>
          <w:b w:val="0"/>
          <w:color w:val="000000"/>
          <w:sz w:val="19"/>
        </w:rPr>
        <w:t>Les flux métier restent sur CC LAN. La zone AUDIT est bloquée par défaut et le WAN de maintenance est retiré pendant les exercices d'audit.</w:t>
      </w:r>
    </w:p>
    <w:tbl>
      <w:tblPr>
        <w:tblW w:type="auto" w:w="0"/>
        <w:tblLayout w:type="fixed"/>
        <w:tblLook w:firstColumn="1" w:firstRow="1" w:lastColumn="0" w:lastRow="0" w:noHBand="0" w:noVBand="1" w:val="04A0"/>
      </w:tblPr>
      <w:tblGrid>
        <w:gridCol w:w="9916"/>
      </w:tblGrid>
      <w:tr>
        <w:trPr>
          <w:cantSplit/>
          <w:tblHeader w:val="true"/>
        </w:trPr>
        <w:tc>
          <w:tcPr>
            <w:tcW w:type="dxa" w:w="992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Hôte Windows 11 Professionnel avec Hyper V</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 administration locale des VM</w:t>
            </w:r>
          </w:p>
        </w:tc>
      </w:tr>
      <w:tr>
        <w:trPr>
          <w:cantSplit/>
        </w:trPr>
        <w:tc>
          <w:tcPr>
            <w:tcW w:type="dxa" w:w="992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CC WAN MAINT 172.31.250.0 24</w:t>
              <w:br/>
              <w:t>Commutateur interne</w:t>
              <w:br/>
              <w:t>Hôte 172.31.250.1 sans passerelle</w:t>
            </w:r>
          </w:p>
        </w:tc>
      </w:tr>
      <w:tr>
        <w:trPr>
          <w:cantSplit/>
        </w:trPr>
        <w:tc>
          <w:tcPr>
            <w:tcW w:type="dxa" w:w="992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val="0"/>
                <w:color w:val="000000"/>
                <w:sz w:val="17"/>
              </w:rPr>
              <w:t>↓ WAN pfSense déconnecté pendant les audits</w:t>
            </w:r>
          </w:p>
        </w:tc>
      </w:tr>
      <w:tr>
        <w:trPr>
          <w:cantSplit/>
        </w:trPr>
        <w:tc>
          <w:tcPr>
            <w:tcW w:type="dxa" w:w="992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FFFFFF"/>
                <w:sz w:val="17"/>
              </w:rPr>
              <w:t>CC PFS01 pfSense</w:t>
              <w:br/>
              <w:t>LAN 10.77.10.1 | AUDIT 10.77.20.1 | WAN maintenance 172.31.250.2</w:t>
            </w:r>
          </w:p>
        </w:tc>
      </w:tr>
    </w:tbl>
    <w:tbl>
      <w:tblPr>
        <w:tblW w:type="auto" w:w="0"/>
        <w:tblLayout w:type="fixed"/>
        <w:tblLook w:firstColumn="1" w:firstRow="1" w:lastColumn="0" w:lastRow="0" w:noHBand="0" w:noVBand="1" w:val="04A0"/>
      </w:tblPr>
      <w:tblGrid>
        <w:gridCol w:w="4958"/>
        <w:gridCol w:w="4958"/>
      </w:tblGrid>
      <w:tr>
        <w:trPr>
          <w:cantSplit/>
          <w:tblHeader w:val="true"/>
        </w:trPr>
        <w:tc>
          <w:tcPr>
            <w:tcW w:type="dxa" w:w="49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CC LAN 10.77.10.0 24</w:t>
              <w:br/>
              <w:t>Privé</w:t>
              <w:br/>
              <w:t>CC DC01 10.77.10.10</w:t>
              <w:br/>
              <w:t>CC W11 01 10.77.10.100</w:t>
            </w:r>
          </w:p>
        </w:tc>
        <w:tc>
          <w:tcPr>
            <w:tcW w:type="dxa" w:w="49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Aptos" w:hAnsi="Aptos"/>
                <w:b/>
                <w:color w:val="000000"/>
                <w:sz w:val="17"/>
              </w:rPr>
              <w:t>CC AUDIT 10.77.20.0 24</w:t>
              <w:br/>
              <w:t>Privé</w:t>
              <w:br/>
              <w:t>CC KALI01 10.77.20.50</w:t>
              <w:br/>
              <w:t>Refus par défaut journalisé</w:t>
            </w:r>
          </w:p>
        </w:tc>
      </w:tr>
    </w:tbl>
    <w:p>
      <w:pPr>
        <w:spacing w:after="100"/>
      </w:pPr>
      <w:r>
        <w:rPr>
          <w:rFonts w:ascii="Aptos" w:hAnsi="Aptos"/>
          <w:b w:val="0"/>
          <w:color w:val="000000"/>
          <w:sz w:val="19"/>
        </w:rPr>
        <w:t>Aucune VM métier ou d'audit ne rejoint un commutateur externe, le Wi Fi, le Default Switch, WSL, Docker ou Tailscale.</w:t>
      </w:r>
    </w:p>
    <w:p>
      <w:pPr>
        <w:pStyle w:val="Heading3"/>
        <w:spacing w:after="100"/>
        <w:keepNext/>
      </w:pPr>
      <w:r>
        <w:rPr>
          <w:rFonts w:ascii="Aptos" w:hAnsi="Aptos"/>
          <w:b w:val="0"/>
          <w:color w:val="000000"/>
          <w:sz w:val="21"/>
        </w:rPr>
        <w:t>Matrice 2 Responsabilités du volet organisationnel</w:t>
      </w:r>
    </w:p>
    <w:p>
      <w:pPr>
        <w:spacing w:after="100"/>
      </w:pPr>
      <w:r>
        <w:rPr>
          <w:rFonts w:ascii="Aptos" w:hAnsi="Aptos"/>
          <w:b w:val="0"/>
          <w:color w:val="000000"/>
          <w:sz w:val="19"/>
        </w:rPr>
        <w:t>Légende : R réalise, A valide et porte la responsabilité finale, C est consulté, I est informé.</w:t>
      </w:r>
    </w:p>
    <w:tbl>
      <w:tblPr>
        <w:tblW w:type="auto" w:w="0"/>
        <w:tblLayout w:type="fixed"/>
        <w:tblLook w:firstColumn="1" w:firstRow="1" w:lastColumn="0" w:lastRow="0" w:noHBand="0" w:noVBand="1" w:val="04A0"/>
      </w:tblPr>
      <w:tblGrid>
        <w:gridCol w:w="1983"/>
        <w:gridCol w:w="1983"/>
        <w:gridCol w:w="1983"/>
        <w:gridCol w:w="1983"/>
        <w:gridCol w:w="1983"/>
      </w:tblGrid>
      <w:tr>
        <w:trPr>
          <w:tblHeader/>
        </w:trPr>
        <w:tc>
          <w:tcPr>
            <w:tcW w:type="dxa" w:w="294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Sujet</w:t>
            </w:r>
          </w:p>
        </w:tc>
        <w:tc>
          <w:tcPr>
            <w:tcW w:type="dxa" w:w="141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Direction</w:t>
            </w:r>
          </w:p>
        </w:tc>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Pôle informatique</w:t>
            </w:r>
          </w:p>
        </w:tc>
        <w:tc>
          <w:tcPr>
            <w:tcW w:type="dxa" w:w="198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Services métier</w:t>
            </w:r>
          </w:p>
        </w:tc>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FFFFFF"/>
                <w:sz w:val="16"/>
              </w:rPr>
              <w:t>Projet CyberCorp</w:t>
            </w:r>
          </w:p>
        </w:tc>
      </w:tr>
      <w:tr>
        <w:trPr>
          <w:cantSplit/>
        </w:trPr>
        <w:tc>
          <w:tcPr>
            <w:tcW w:type="dxa" w:w="29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Politique de sécurité et priorités</w:t>
            </w:r>
          </w:p>
        </w:tc>
        <w:tc>
          <w:tcPr>
            <w:tcW w:type="dxa" w:w="14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94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Revue des droits et des accès</w:t>
            </w:r>
          </w:p>
        </w:tc>
        <w:tc>
          <w:tcPr>
            <w:tcW w:type="dxa" w:w="14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 R</w:t>
            </w:r>
          </w:p>
        </w:tc>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9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Sauvegardes et exercice de reprise</w:t>
            </w:r>
          </w:p>
        </w:tc>
        <w:tc>
          <w:tcPr>
            <w:tcW w:type="dxa" w:w="14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94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Traitement des incidents</w:t>
            </w:r>
          </w:p>
        </w:tc>
        <w:tc>
          <w:tcPr>
            <w:tcW w:type="dxa" w:w="14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I</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9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Sensibilisation des utilisateurs</w:t>
            </w:r>
          </w:p>
        </w:tc>
        <w:tc>
          <w:tcPr>
            <w:tcW w:type="dxa" w:w="141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r>
        <w:trPr>
          <w:cantSplit/>
        </w:trPr>
        <w:tc>
          <w:tcPr>
            <w:tcW w:type="dxa" w:w="294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color w:val="000000"/>
                <w:sz w:val="16"/>
              </w:rPr>
              <w:t>Registre des risques et actions</w:t>
            </w:r>
          </w:p>
        </w:tc>
        <w:tc>
          <w:tcPr>
            <w:tcW w:type="dxa" w:w="141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A</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C</w:t>
            </w:r>
          </w:p>
        </w:tc>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r>
              <w:rPr>
                <w:rFonts w:ascii="Aptos" w:hAnsi="Aptos"/>
                <w:b w:val="0"/>
                <w:color w:val="000000"/>
                <w:sz w:val="16"/>
              </w:rPr>
              <w:t>R</w:t>
            </w:r>
          </w:p>
        </w:tc>
      </w:tr>
    </w:tbl>
    <w:sectPr w:rsidR="00FC693F" w:rsidRPr="0006063C" w:rsidSect="00034616">
      <w:headerReference w:type="default" r:id="rId9"/>
      <w:footerReference w:type="default" r:id="rId10"/>
      <w:pgSz w:w="12240" w:h="15840"/>
      <w:pgMar w:top="1134" w:right="1162" w:bottom="1020" w:left="1162" w:header="454" w:footer="454" w:gutter="0"/>
      <w:cols w:space="720"/>
      <w:titlePg/>
      <w:docGrid w:linePitch="360"/>
    </w:sectPr>
    <w:p>
      <w:r>
        <w:rPr>
          <w:rFonts w:ascii="Aptos" w:hAnsi="Aptos"/>
          <w:b w:val="0"/>
          <w:i w:val="0"/>
          <w:color w:val="000000"/>
          <w:sz w:val="21"/>
        </w:rPr>
        <w:t>L'organisation compte vingt-cinq collaborateurs répartis entre la direction, l'administration et les ressources humaines, la finance, le commercial, la technique et l'informatique. Cette structure est reprise dans Active Directory afin d'associer les droits aux responsabilités métier et non aux personnes individuellement.</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Service</w:t>
            </w:r>
          </w:p>
        </w:tc>
        <w:tc>
          <w:tcPr>
            <w:tcW w:type="dxa" w:w="113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Effectif</w:t>
            </w:r>
          </w:p>
        </w:tc>
        <w:tc>
          <w:tcPr>
            <w:tcW w:type="dxa" w:w="584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Rôle fictif</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Direction</w:t>
            </w:r>
          </w:p>
        </w:tc>
        <w:tc>
          <w:tcPr>
            <w:tcW w:type="dxa" w:w="113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2</w:t>
            </w:r>
          </w:p>
        </w:tc>
        <w:tc>
          <w:tcPr>
            <w:tcW w:type="dxa" w:w="58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Stratégie, arbitrage et qualité.</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Administration et RH</w:t>
            </w:r>
          </w:p>
        </w:tc>
        <w:tc>
          <w:tcPr>
            <w:tcW w:type="dxa" w:w="113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3</w:t>
            </w:r>
          </w:p>
        </w:tc>
        <w:tc>
          <w:tcPr>
            <w:tcW w:type="dxa" w:w="584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Vie interne et gestion du personnel.</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Finance</w:t>
            </w:r>
          </w:p>
        </w:tc>
        <w:tc>
          <w:tcPr>
            <w:tcW w:type="dxa" w:w="113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3</w:t>
            </w:r>
          </w:p>
        </w:tc>
        <w:tc>
          <w:tcPr>
            <w:tcW w:type="dxa" w:w="58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Budget, achats et suivi financier.</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Commercial</w:t>
            </w:r>
          </w:p>
        </w:tc>
        <w:tc>
          <w:tcPr>
            <w:tcW w:type="dxa" w:w="113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7</w:t>
            </w:r>
          </w:p>
        </w:tc>
        <w:tc>
          <w:tcPr>
            <w:tcW w:type="dxa" w:w="584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Relation clients et développement.</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Technique</w:t>
            </w:r>
          </w:p>
        </w:tc>
        <w:tc>
          <w:tcPr>
            <w:tcW w:type="dxa" w:w="113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8</w:t>
            </w:r>
          </w:p>
        </w:tc>
        <w:tc>
          <w:tcPr>
            <w:tcW w:type="dxa" w:w="58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Projets, expertise et documentation technique.</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Informatique</w:t>
            </w:r>
          </w:p>
        </w:tc>
        <w:tc>
          <w:tcPr>
            <w:tcW w:type="dxa" w:w="113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2</w:t>
            </w:r>
          </w:p>
        </w:tc>
        <w:tc>
          <w:tcPr>
            <w:tcW w:type="dxa" w:w="584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Support et administration du système d'information.</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Total</w:t>
            </w:r>
          </w:p>
        </w:tc>
        <w:tc>
          <w:tcPr>
            <w:tcW w:type="dxa" w:w="113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25</w:t>
            </w:r>
          </w:p>
        </w:tc>
        <w:tc>
          <w:tcPr>
            <w:tcW w:type="dxa" w:w="58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Organisation fictive du laboratoire.</w:t>
            </w:r>
          </w:p>
        </w:tc>
      </w:tr>
    </w:tbl>
    <w:p>
      <w:pPr>
        <w:spacing w:after="40"/>
      </w:pPr>
    </w:p>
    <w:p>
      <w:pPr>
        <w:pStyle w:val="Heading2"/>
        <w:keepNext/>
      </w:pPr>
      <w:r>
        <w:t>2 3 Activité principale</w:t>
      </w:r>
    </w:p>
    <w:p>
      <w:r>
        <w:rPr>
          <w:rFonts w:ascii="Aptos" w:hAnsi="Aptos"/>
          <w:b w:val="0"/>
          <w:i w:val="0"/>
          <w:color w:val="000000"/>
          <w:sz w:val="21"/>
        </w:rPr>
        <w:t>Dans le scénario, CyberCorp intervient dans le conseil, l'accompagnement numérique, l'intégration de solutions et le maintien en conditions opérationnelles. Les équipes produisent et partagent des livrables, documentations, éléments de suivi et données de gestion.</w:t>
      </w:r>
    </w:p>
    <w:p>
      <w:pPr>
        <w:pStyle w:val="Heading2"/>
        <w:keepNext/>
      </w:pPr>
      <w:r>
        <w:t>2 4 Enjeux métiers liés à l informatique</w:t>
      </w:r>
    </w:p>
    <w:p>
      <w:r>
        <w:rPr>
          <w:rFonts w:ascii="Aptos" w:hAnsi="Aptos"/>
          <w:b w:val="0"/>
          <w:i w:val="0"/>
          <w:color w:val="000000"/>
          <w:sz w:val="21"/>
        </w:rPr>
        <w:t>La disponibilité du domaine, des fichiers et des postes conditionne les activités. La confidentialité est particulièrement importante pour les données financières, RH, contractuelles et techniques. Les accès doivent donc être attribués au besoin d'en connaître, tracés et révisés, tandis que les incidents doivent pouvoir être détectés et analysés.</w:t>
      </w:r>
    </w:p>
    <w:p>
      <w:pPr>
        <w:pStyle w:val="Heading2"/>
        <w:keepNext/>
      </w:pPr>
      <w:r>
        <w:t>2 5 Environnement technique général</w:t>
      </w:r>
    </w:p>
    <w:p>
      <w:r>
        <w:rPr>
          <w:rFonts w:ascii="Aptos" w:hAnsi="Aptos"/>
          <w:b w:val="0"/>
          <w:i w:val="0"/>
          <w:color w:val="000000"/>
          <w:sz w:val="21"/>
        </w:rPr>
        <w:t>Le laboratoire transpose cette organisation dans un domaine Active Directory. Les comptes métier appartiennent à des groupes globaux de service, eux-mêmes associés à des groupes locaux de domaine portant les permissions. Ce modèle limite les erreurs de droits et permet d'expliquer chaque accès par une règle identifiée.</w:t>
      </w:r>
    </w:p>
    <w:p>
      <w:pPr>
        <w:pStyle w:val="Heading1"/>
        <w:keepNext/>
      </w:pPr>
      <w:r>
        <w:t>3 Cahier des charges de l audit</w:t>
      </w:r>
    </w:p>
    <w:p>
      <w:pPr>
        <w:pStyle w:val="Heading2"/>
        <w:keepNext/>
      </w:pPr>
      <w:r>
        <w:t>3 1 Expression du besoin initial</w:t>
      </w:r>
    </w:p>
    <w:p>
      <w:r>
        <w:rPr>
          <w:rFonts w:ascii="Aptos" w:hAnsi="Aptos"/>
          <w:b w:val="0"/>
          <w:i w:val="0"/>
          <w:color w:val="000000"/>
          <w:sz w:val="21"/>
        </w:rPr>
        <w:t>Le besoin consiste à concevoir puis vérifier une infrastructure de PME réaliste, exploitable avec des ressources limitées et suffisamment cloisonnée pour réaliser des exercices de sécurité sans exposition du réseau personnel. Le résultat attendu est un dossier défendable, fondé sur des preuves plutôt que sur des intentions de configuration.</w:t>
      </w:r>
    </w:p>
    <w:p>
      <w:pPr>
        <w:pStyle w:val="Heading2"/>
        <w:keepNext/>
      </w:pPr>
      <w:r>
        <w:t>3 2 Objectifs spécifiques</w:t>
      </w:r>
    </w:p>
    <w:p>
      <w:pPr>
        <w:pStyle w:val="ListBullet"/>
        <w:spacing w:after="60"/>
      </w:pPr>
      <w:r>
        <w:rPr>
          <w:rFonts w:ascii="Aptos" w:hAnsi="Aptos"/>
          <w:b w:val="0"/>
          <w:i w:val="0"/>
          <w:color w:val="000000"/>
          <w:sz w:val="21"/>
        </w:rPr>
        <w:t>Construire un socle Hyper V isolé et sauvegardé avant toute transformation.</w:t>
      </w:r>
    </w:p>
    <w:p>
      <w:pPr>
        <w:pStyle w:val="ListBullet"/>
        <w:spacing w:after="60"/>
      </w:pPr>
      <w:r>
        <w:rPr>
          <w:rFonts w:ascii="Aptos" w:hAnsi="Aptos"/>
          <w:b w:val="0"/>
          <w:i w:val="0"/>
          <w:color w:val="000000"/>
          <w:sz w:val="21"/>
        </w:rPr>
        <w:t>Déployer les services d'identité, de DNS, de partage et de poste de travail nécessaires au scénario métier.</w:t>
      </w:r>
    </w:p>
    <w:p>
      <w:pPr>
        <w:pStyle w:val="ListBullet"/>
        <w:spacing w:after="60"/>
      </w:pPr>
      <w:r>
        <w:rPr>
          <w:rFonts w:ascii="Aptos" w:hAnsi="Aptos"/>
          <w:b w:val="0"/>
          <w:i w:val="0"/>
          <w:color w:val="000000"/>
          <w:sz w:val="21"/>
        </w:rPr>
        <w:t>Appliquer le moindre privilège au travers de groupes, ACL, GPO et règles de pare-feu.</w:t>
      </w:r>
    </w:p>
    <w:p>
      <w:pPr>
        <w:pStyle w:val="ListBullet"/>
        <w:spacing w:after="60"/>
      </w:pPr>
      <w:r>
        <w:rPr>
          <w:rFonts w:ascii="Aptos" w:hAnsi="Aptos"/>
          <w:b w:val="0"/>
          <w:i w:val="0"/>
          <w:color w:val="000000"/>
          <w:sz w:val="21"/>
        </w:rPr>
        <w:t>Produire des preuves exploitables de configuration, de tests et de détection.</w:t>
      </w:r>
    </w:p>
    <w:p>
      <w:pPr>
        <w:pStyle w:val="ListBullet"/>
        <w:spacing w:after="60"/>
      </w:pPr>
      <w:r>
        <w:rPr>
          <w:rFonts w:ascii="Aptos" w:hAnsi="Aptos"/>
          <w:b w:val="0"/>
          <w:i w:val="0"/>
          <w:color w:val="000000"/>
          <w:sz w:val="21"/>
        </w:rPr>
        <w:t>Documenter les risques résiduels, les contre tests et les actions de clôture.</w:t>
      </w:r>
    </w:p>
    <w:p>
      <w:pPr>
        <w:pStyle w:val="Heading2"/>
        <w:keepNext/>
      </w:pPr>
      <w:r>
        <w:t>3 3 Périmètre de l audit</w:t>
      </w:r>
    </w:p>
    <w:tbl>
      <w:tblPr>
        <w:tblStyle w:val="TableGrid"/>
        <w:tblW w:type="auto" w:w="0"/>
        <w:tblLayout w:type="fixed"/>
        <w:tblLook w:firstColumn="1" w:firstRow="1" w:lastColumn="0" w:lastRow="0" w:noHBand="0" w:noVBand="1" w:val="04A0"/>
      </w:tblPr>
      <w:tblGrid>
        <w:gridCol w:w="2479"/>
        <w:gridCol w:w="2479"/>
        <w:gridCol w:w="2479"/>
        <w:gridCol w:w="2479"/>
      </w:tblGrid>
      <w:tr>
        <w:trPr>
          <w:tblHeader w:val="true"/>
        </w:trPr>
        <w:tc>
          <w:tcPr>
            <w:tcW w:type="dxa" w:w="147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Élément</w:t>
            </w:r>
          </w:p>
        </w:tc>
        <w:tc>
          <w:tcPr>
            <w:tcW w:type="dxa" w:w="249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Rôle</w:t>
            </w:r>
          </w:p>
        </w:tc>
        <w:tc>
          <w:tcPr>
            <w:tcW w:type="dxa" w:w="379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Réseau et adresse</w:t>
            </w:r>
          </w:p>
        </w:tc>
        <w:tc>
          <w:tcPr>
            <w:tcW w:type="dxa" w:w="147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État de périmètre</w:t>
            </w:r>
          </w:p>
        </w:tc>
      </w:tr>
      <w:tr>
        <w:trPr>
          <w:cantSplit/>
        </w:trPr>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PFS01</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Pare feu et routeur pfSense CE 2.9.0.</w:t>
            </w:r>
          </w:p>
        </w:tc>
        <w:tc>
          <w:tcPr>
            <w:tcW w:type="dxa" w:w="37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10.77.10.1, 10.77.20.1, WAN 172.31.250.2.</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Inclus</w:t>
            </w:r>
          </w:p>
        </w:tc>
      </w:tr>
      <w:tr>
        <w:trPr>
          <w:cantSplit/>
        </w:trPr>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DC01</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Windows Server 2025, AD DS, DNS et fichiers.</w:t>
            </w:r>
          </w:p>
        </w:tc>
        <w:tc>
          <w:tcPr>
            <w:tcW w:type="dxa" w:w="37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CC LAN, 10.77.10.10.</w:t>
            </w:r>
          </w:p>
        </w:tc>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Inclus</w:t>
            </w:r>
          </w:p>
        </w:tc>
      </w:tr>
      <w:tr>
        <w:trPr>
          <w:cantSplit/>
        </w:trPr>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W11 01</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Poste métier Windows 11 Pro joint au domaine.</w:t>
            </w:r>
          </w:p>
        </w:tc>
        <w:tc>
          <w:tcPr>
            <w:tcW w:type="dxa" w:w="37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CC LAN, 10.77.10.100.</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Inclus</w:t>
            </w:r>
          </w:p>
        </w:tc>
      </w:tr>
      <w:tr>
        <w:trPr>
          <w:cantSplit/>
        </w:trPr>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KALI01</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Station d'audit contrôlé.</w:t>
            </w:r>
          </w:p>
        </w:tc>
        <w:tc>
          <w:tcPr>
            <w:tcW w:type="dxa" w:w="37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CC AUDIT, 10.77.20.50.</w:t>
            </w:r>
          </w:p>
        </w:tc>
        <w:tc>
          <w:tcPr>
            <w:tcW w:type="dxa" w:w="147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Inclus</w:t>
            </w:r>
          </w:p>
        </w:tc>
      </w:tr>
      <w:tr>
        <w:trPr>
          <w:cantSplit/>
        </w:trPr>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Réseau personnel et hôte</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Wi Fi, WSL, Docker, Tailscale et Default Switch.</w:t>
            </w:r>
          </w:p>
        </w:tc>
        <w:tc>
          <w:tcPr>
            <w:tcW w:type="dxa" w:w="37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Hors laboratoire.</w:t>
            </w:r>
          </w:p>
        </w:tc>
        <w:tc>
          <w:tcPr>
            <w:tcW w:type="dxa" w:w="147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Exclus</w:t>
            </w:r>
          </w:p>
        </w:tc>
      </w:tr>
    </w:tbl>
    <w:p>
      <w:pPr>
        <w:spacing w:after="40"/>
      </w:pPr>
    </w:p>
    <w:p>
      <w:pPr>
        <w:pStyle w:val="Heading2"/>
        <w:keepNext/>
      </w:pPr>
      <w:r>
        <w:t>3 4 Contraintes techniques et organisationnelles</w:t>
      </w:r>
    </w:p>
    <w:p>
      <w:r>
        <w:rPr>
          <w:rFonts w:ascii="Aptos" w:hAnsi="Aptos"/>
          <w:b w:val="0"/>
          <w:i w:val="0"/>
          <w:color w:val="000000"/>
          <w:sz w:val="21"/>
        </w:rPr>
        <w:t>L'hôte Windows 11 Professionnel dispose d'environ 11,75 Gio de mémoire réellement utilisable, inférieur à l'hypothèse initiale de 16 Gio. Le projet adopte donc des profils de démarrage : métier, audit serveur, audit client et restauration. Les quatre VM ne doivent pas être démarrées simultanément ; une marge minimale de 1,5 Gio est recherchée pour l'hôte.</w:t>
      </w:r>
    </w:p>
    <w:p>
      <w:r>
        <w:rPr>
          <w:rFonts w:ascii="Aptos" w:hAnsi="Aptos"/>
          <w:b w:val="0"/>
          <w:i w:val="0"/>
          <w:color w:val="000000"/>
          <w:sz w:val="21"/>
        </w:rPr>
        <w:t>Aucune VM métier ou d'audit ne peut être reliée à un commutateur externe. La carte WAN de pfSense est déconnectée pendant les exercices d'audit. Les secrets restent hors du dépôt, et les preuves de soutenance sont expurgées de toute donnée personnelle, clé, jeton ou chemin personnel.</w:t>
      </w:r>
    </w:p>
    <w:p>
      <w:pPr>
        <w:pStyle w:val="Heading2"/>
        <w:keepNext/>
      </w:pPr>
      <w:r>
        <w:t>3 5 Livrables attendus</w:t>
      </w:r>
    </w:p>
    <w:tbl>
      <w:tblPr>
        <w:tblStyle w:val="TableGrid"/>
        <w:tblW w:type="auto" w:w="0"/>
        <w:tblLayout w:type="fixed"/>
        <w:tblLook w:firstColumn="1" w:firstRow="1" w:lastColumn="0" w:lastRow="0" w:noHBand="0" w:noVBand="1" w:val="04A0"/>
      </w:tblPr>
      <w:tblGrid>
        <w:gridCol w:w="4958"/>
        <w:gridCol w:w="4958"/>
      </w:tblGrid>
      <w:tr>
        <w:trPr>
          <w:tblHeader w:val="true"/>
        </w:trPr>
        <w:tc>
          <w:tcPr>
            <w:tcW w:type="dxa" w:w="238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Livrable</w:t>
            </w:r>
          </w:p>
        </w:tc>
        <w:tc>
          <w:tcPr>
            <w:tcW w:type="dxa" w:w="686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7"/>
              </w:rPr>
              <w:t>Contenu attendu</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Dossier de conception et audit</w:t>
            </w:r>
          </w:p>
        </w:tc>
        <w:tc>
          <w:tcPr>
            <w:tcW w:type="dxa" w:w="68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Architecture, résultats, risques, recommandations et annexes.</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Configuration versionnée</w:t>
            </w:r>
          </w:p>
        </w:tc>
        <w:tc>
          <w:tcPr>
            <w:tcW w:type="dxa" w:w="686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Inventaire, comptes, recette, scripts et configuration de sécurité.</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Journal de déploiement</w:t>
            </w:r>
          </w:p>
        </w:tc>
        <w:tc>
          <w:tcPr>
            <w:tcW w:type="dxa" w:w="68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Étapes réalisées, contrôles, validations et preuves.</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Preuves techniques</w:t>
            </w:r>
          </w:p>
        </w:tc>
        <w:tc>
          <w:tcPr>
            <w:tcW w:type="dxa" w:w="686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Exports, rapports GPO, EVTX, chronologie, hachages et résultats de tests.</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7"/>
              </w:rPr>
              <w:t>Tableau de bord privé</w:t>
            </w:r>
          </w:p>
        </w:tc>
        <w:tc>
          <w:tcPr>
            <w:tcW w:type="dxa" w:w="68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7"/>
              </w:rPr>
              <w:t>État des VM, commutateurs, mémoire et avancement en lecture seule.</w:t>
            </w:r>
          </w:p>
        </w:tc>
      </w:tr>
    </w:tbl>
    <w:p>
      <w:pPr>
        <w:spacing w:after="40"/>
      </w:pPr>
    </w:p>
    <w:p>
      <w:pPr>
        <w:pStyle w:val="Heading2"/>
        <w:keepNext/>
      </w:pPr>
      <w:r>
        <w:t>3 6 Matrice de responsabilité</w:t>
      </w:r>
    </w:p>
    <w:p>
      <w:pPr>
        <w:pStyle w:val="ListNumber"/>
        <w:spacing w:after="60"/>
      </w:pPr>
      <w:r>
        <w:rPr>
          <w:rFonts w:ascii="Aptos" w:hAnsi="Aptos"/>
          <w:b w:val="0"/>
          <w:i w:val="0"/>
          <w:color w:val="000000"/>
          <w:sz w:val="21"/>
        </w:rPr>
        <w:t>Construire et démontrer les politiques Conftest OPA avec un PASS et un FAIL contrôlé.</w:t>
      </w:r>
    </w:p>
    <w:p>
      <w:pPr>
        <w:pStyle w:val="ListNumber"/>
        <w:spacing w:after="60"/>
      </w:pPr>
      <w:r>
        <w:rPr>
          <w:rFonts w:ascii="Aptos" w:hAnsi="Aptos"/>
          <w:b w:val="0"/>
          <w:i w:val="0"/>
          <w:color w:val="000000"/>
          <w:sz w:val="21"/>
        </w:rPr>
        <w:t>Tester la restauration, mesurer RTO RPO et archiver les preuves sur un support distinct.</w:t>
      </w:r>
    </w:p>
    <w:p>
      <w:pPr>
        <w:pStyle w:val="Heading3"/>
        <w:spacing w:after="100"/>
        <w:keepNext/>
      </w:pPr>
      <w:r>
        <w:rPr>
          <w:rFonts w:ascii="Aptos" w:hAnsi="Aptos"/>
          <w:b w:val="0"/>
          <w:color w:val="000000"/>
          <w:sz w:val="21"/>
        </w:rPr>
        <w:t>Schéma 1 Organisation du pôle informatique</w:t>
      </w:r>
    </w:p>
    <w:tbl>
      <w:tblPr>
        <w:tblStyle w:val="TableGrid"/>
        <w:tblW w:type="auto" w:w="0"/>
        <w:tblLayout w:type="fixed"/>
        <w:tblLook w:firstColumn="1" w:firstRow="1" w:lastColumn="0" w:lastRow="0" w:noHBand="0" w:noVBand="1" w:val="04A0"/>
      </w:tblPr>
      <w:tblGrid>
        <w:gridCol w:w="2479"/>
        <w:gridCol w:w="2479"/>
        <w:gridCol w:w="2479"/>
        <w:gridCol w:w="2479"/>
      </w:tblGrid>
      <w:tr>
        <w:trPr>
          <w:tblHeader w:val="true"/>
        </w:trPr>
        <w:tc>
          <w:tcPr>
            <w:tcW w:type="dxa" w:w="249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Activité</w:t>
            </w:r>
          </w:p>
        </w:tc>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Responsable</w:t>
            </w:r>
          </w:p>
        </w:tc>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Contribution</w:t>
            </w:r>
          </w:p>
        </w:tc>
        <w:tc>
          <w:tcPr>
            <w:tcW w:type="dxa" w:w="221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Validation</w:t>
            </w:r>
          </w:p>
        </w:tc>
      </w:tr>
      <w:tr>
        <w:trPr>
          <w:cantSplit/>
        </w:trPr>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Architecture et règles de confinement</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Projet CyberCorp</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Administration informatique</w:t>
            </w:r>
          </w:p>
        </w:tc>
        <w:tc>
          <w:tcPr>
            <w:tcW w:type="dxa" w:w="221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Revue du dossier</w:t>
            </w:r>
          </w:p>
        </w:tc>
      </w:tr>
      <w:tr>
        <w:trPr>
          <w:cantSplit/>
        </w:trPr>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Administration AD et partages</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Administration informatique</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Services métier fictifs</w:t>
            </w:r>
          </w:p>
        </w:tc>
        <w:tc>
          <w:tcPr>
            <w:tcW w:type="dxa" w:w="221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Tests fonctionnels</w:t>
            </w:r>
          </w:p>
        </w:tc>
      </w:tr>
      <w:tr>
        <w:trPr>
          <w:cantSplit/>
        </w:trPr>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Audit et conservation des preuves</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Projet CyberCorp</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Administration informatique</w:t>
            </w:r>
          </w:p>
        </w:tc>
        <w:tc>
          <w:tcPr>
            <w:tcW w:type="dxa" w:w="221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Recette et contre tests</w:t>
            </w:r>
          </w:p>
        </w:tc>
      </w:tr>
      <w:tr>
        <w:trPr>
          <w:cantSplit/>
        </w:trPr>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Gestion des risques et priorités</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Direction fictive</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Informatique et technique</w:t>
            </w:r>
          </w:p>
        </w:tc>
        <w:tc>
          <w:tcPr>
            <w:tcW w:type="dxa" w:w="221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Revue de direction</w:t>
            </w:r>
          </w:p>
        </w:tc>
      </w:tr>
    </w:tbl>
    <w:p>
      <w:pPr>
        <w:spacing w:after="40"/>
      </w:pPr>
    </w:p>
    <w:p>
      <w:pPr>
        <w:pStyle w:val="Heading2"/>
        <w:keepNext/>
      </w:pPr>
      <w:r>
        <w:t>3 7 Durée et calendrier de l audit</w:t>
      </w:r>
    </w:p>
    <w:p>
      <w:pPr>
        <w:pStyle w:val="ListNumber"/>
        <w:spacing w:after="60"/>
      </w:pPr>
      <w:r>
        <w:rPr>
          <w:rFonts w:ascii="Aptos" w:hAnsi="Aptos"/>
          <w:b w:val="0"/>
          <w:i w:val="0"/>
          <w:color w:val="000000"/>
          <w:sz w:val="21"/>
        </w:rPr>
        <w:t>Rejouer les scénarios T08 à T13 avec leurs contre tests et mettre à jour la recette.</w:t>
      </w:r>
    </w:p>
    <w:p>
      <w:pPr>
        <w:pStyle w:val="ListNumber"/>
        <w:spacing w:after="60"/>
      </w:pPr>
      <w:r>
        <w:rPr>
          <w:rFonts w:ascii="Aptos" w:hAnsi="Aptos"/>
          <w:b w:val="0"/>
          <w:i w:val="0"/>
          <w:color w:val="000000"/>
          <w:sz w:val="21"/>
        </w:rPr>
        <w:t>Réaliser le scénario Nmap Ndiff dans le profil audit serveur, puis retirer la règle temporaire.</w:t>
      </w:r>
    </w:p>
    <w:p>
      <w:r>
        <w:rPr>
          <w:rFonts w:ascii="Aptos" w:hAnsi="Aptos"/>
          <w:b w:val="0"/>
          <w:i w:val="0"/>
          <w:color w:val="000000"/>
          <w:sz w:val="21"/>
        </w:rPr>
        <w:t>Le journal de déploiement couvre les travaux conduits du 13 au 20 octobre 2026. Les sauvegardes, les réseaux et la reconstruction des VM ont été validés avant la configuration des services. Les contrôles d'identité, de partage, de GPO, de journalisation et de gouvernance ont ensuite été documentés. La recette T01 à T15 demeure le jalon de clôture.</w:t>
      </w:r>
    </w:p>
    <w:p>
      <w:pPr>
        <w:pStyle w:val="Heading1"/>
        <w:keepNext/>
      </w:pPr>
      <w:r>
        <w:t>4 Méthodologie</w:t>
      </w:r>
    </w:p>
    <w:p>
      <w:pPr>
        <w:pStyle w:val="Heading2"/>
        <w:keepNext/>
      </w:pPr>
      <w:r>
        <w:t>4 1 Méthode de collecte des données</w:t>
      </w:r>
    </w:p>
    <w:p>
      <w:r>
        <w:rPr>
          <w:rFonts w:ascii="Aptos" w:hAnsi="Aptos"/>
          <w:b w:val="0"/>
          <w:i w:val="0"/>
          <w:color w:val="000000"/>
          <w:sz w:val="21"/>
        </w:rPr>
        <w:t>La collecte combine les configurations versionnées, l'inventaire Hyper V, les exports pfSense, les résultats de commandes d'administration, les rapports GPO, les journaux Windows et les résultats de tests fonctionnels. Les artefacts significatifs sont hachés en SHA 256 afin de pouvoir vérifier leur intégrité après export.</w:t>
      </w:r>
    </w:p>
    <w:p>
      <w:pPr>
        <w:pStyle w:val="Heading2"/>
        <w:keepNext/>
      </w:pPr>
      <w:r>
        <w:t>4 2 Outils utilisés</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204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Outil</w:t>
            </w:r>
          </w:p>
        </w:tc>
        <w:tc>
          <w:tcPr>
            <w:tcW w:type="dxa" w:w="396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Usage</w:t>
            </w:r>
          </w:p>
        </w:tc>
        <w:tc>
          <w:tcPr>
            <w:tcW w:type="dxa" w:w="323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Statut au 20 octobre 2026</w:t>
            </w:r>
          </w:p>
        </w:tc>
      </w:tr>
      <w:tr>
        <w:trPr>
          <w:cantSplit/>
        </w:trPr>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Hyper V et pfSense</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Virtualisation, routage, filtrage et isolement.</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Déployés et configurés.</w:t>
            </w:r>
          </w:p>
        </w:tc>
      </w:tr>
      <w:tr>
        <w:trPr>
          <w:cantSplit/>
        </w:trPr>
        <w:tc>
          <w:tcPr>
            <w:tcW w:type="dxa" w:w="20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Active Directory, DNS et GPO</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Identités, stratégie de sécurité et administration.</w:t>
            </w:r>
          </w:p>
        </w:tc>
        <w:tc>
          <w:tcPr>
            <w:tcW w:type="dxa" w:w="323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Déployés et vérifiés sur les points documentés.</w:t>
            </w:r>
          </w:p>
        </w:tc>
      </w:tr>
      <w:tr>
        <w:trPr>
          <w:cantSplit/>
        </w:trPr>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Sysmon et Hayabusa</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Télémétrie endpoint et analyse hors ligne des EVTX.</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Démonstration contrôlée réalisée.</w:t>
            </w:r>
          </w:p>
        </w:tc>
      </w:tr>
      <w:tr>
        <w:trPr>
          <w:cantSplit/>
        </w:trPr>
        <w:tc>
          <w:tcPr>
            <w:tcW w:type="dxa" w:w="204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GPOZaurr</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Audit en lecture seule de la cohérence des GPO.</w:t>
            </w:r>
          </w:p>
        </w:tc>
        <w:tc>
          <w:tcPr>
            <w:tcW w:type="dxa" w:w="323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Exécuté sur CC DC01.</w:t>
            </w:r>
          </w:p>
        </w:tc>
      </w:tr>
      <w:tr>
        <w:trPr>
          <w:cantSplit/>
        </w:trPr>
        <w:tc>
          <w:tcPr>
            <w:tcW w:type="dxa" w:w="204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Nmap Ndiff et Conftest OPA</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Exposition autorisée et conformité as code.</w:t>
            </w:r>
          </w:p>
        </w:tc>
        <w:tc>
          <w:tcPr>
            <w:tcW w:type="dxa" w:w="323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Prévus, non démontrés.</w:t>
            </w:r>
          </w:p>
        </w:tc>
      </w:tr>
    </w:tbl>
    <w:p>
      <w:pPr>
        <w:spacing w:after="40"/>
      </w:pPr>
    </w:p>
    <w:p>
      <w:pPr>
        <w:pStyle w:val="Heading2"/>
        <w:keepNext/>
      </w:pPr>
      <w:r>
        <w:t>4 3 Référentiels suivis</w:t>
      </w:r>
    </w:p>
    <w:p>
      <w:r>
        <w:rPr>
          <w:rFonts w:ascii="Aptos" w:hAnsi="Aptos"/>
          <w:b w:val="0"/>
          <w:i w:val="0"/>
          <w:color w:val="000000"/>
          <w:sz w:val="21"/>
        </w:rPr>
        <w:t>La méthode s'appuie sur les principes de défense en profondeur, de moindre privilège, de séparation des environnements, de traçabilité et de vérification par preuve. Les bonnes pratiques des environnements Windows, Active Directory, pfSense et de gestion des événements complètent ce cadre. Le rapport ne revendique aucune conformité certifiée : il apprécie les contrôles appliqués au périmètre pédagogique.</w:t>
      </w:r>
    </w:p>
    <w:p>
      <w:pPr>
        <w:pStyle w:val="Heading2"/>
        <w:keepNext/>
      </w:pPr>
      <w:r>
        <w:t>4 4 Politique d échantillonnage</w:t>
      </w:r>
    </w:p>
    <w:p>
      <w:r>
        <w:rPr>
          <w:rFonts w:ascii="Aptos" w:hAnsi="Aptos"/>
          <w:b w:val="0"/>
          <w:i w:val="0"/>
          <w:color w:val="000000"/>
          <w:sz w:val="21"/>
        </w:rPr>
        <w:t>Les contrôles portent sur les objets les plus sensibles du scénario : interfaces réseau des VM, règles de filtrage, comptes administratifs et de test, partages Finance et Commun, GPO de domaine et de poste, journal Sysmon et rapport de gouvernance des GPO. Cette sélection est fondée sur le risque et ne remplace pas une recette exhaustive.</w:t>
      </w:r>
    </w:p>
    <w:p>
      <w:pPr>
        <w:pStyle w:val="Heading2"/>
        <w:keepNext/>
      </w:pPr>
      <w:r>
        <w:t>4 5 Limites de l audit</w:t>
      </w:r>
    </w:p>
    <w:p>
      <w:r>
        <w:rPr>
          <w:rFonts w:ascii="Aptos" w:hAnsi="Aptos"/>
          <w:b w:val="0"/>
          <w:i w:val="0"/>
          <w:color w:val="000000"/>
          <w:sz w:val="21"/>
        </w:rPr>
        <w:t>Le périmètre exclut le réseau domestique, l'hôte Windows, Internet, Tailscale et tout système tiers. Les tests depuis Kali sont limités aux adresses, ports, identités et créneaux définis par le scénario autorisé. Les résultats ne peuvent pas être extrapolés à un système d'information de production.</w:t>
      </w:r>
    </w:p>
    <w:p>
      <w:pPr>
        <w:pStyle w:val="Heading2"/>
        <w:keepNext/>
      </w:pPr>
      <w:r>
        <w:t>4 6 Déroulement général de l audit</w:t>
      </w:r>
    </w:p>
    <w:p>
      <w:r>
        <w:rPr>
          <w:rFonts w:ascii="Aptos" w:hAnsi="Aptos"/>
          <w:b/>
          <w:i w:val="0"/>
          <w:color w:val="000000"/>
          <w:sz w:val="21"/>
        </w:rPr>
        <w:t xml:space="preserve">Les copies destinées à la soutenance doivent être expurgées de </w:t>
      </w:r>
      <w:r>
        <w:rPr>
          <w:rFonts w:ascii="Aptos" w:hAnsi="Aptos"/>
          <w:b w:val="0"/>
          <w:i w:val="0"/>
          <w:color w:val="000000"/>
          <w:sz w:val="21"/>
        </w:rPr>
        <w:t>tout mot de passe, jeton, clé, chemin personnel ou information non nécessaire.</w:t>
      </w:r>
    </w:p>
    <w:p>
      <w:pPr>
        <w:pStyle w:val="Heading2"/>
        <w:keepNext/>
      </w:pPr>
      <w:r>
        <w:t>Annexe D Plan de finalisation</w:t>
      </w:r>
    </w:p>
    <w:p>
      <w:pPr>
        <w:pStyle w:val="ListNumber"/>
        <w:spacing w:after="60"/>
      </w:pPr>
      <w:r>
        <w:rPr>
          <w:rFonts w:ascii="Aptos" w:hAnsi="Aptos"/>
          <w:b w:val="0"/>
          <w:i w:val="0"/>
          <w:color w:val="000000"/>
          <w:sz w:val="21"/>
        </w:rPr>
        <w:t>Exécuter les tests T01 à T04 et consigner les preuves de confinement.</w:t>
      </w:r>
    </w:p>
    <w:p>
      <w:pPr>
        <w:pStyle w:val="ListNumber"/>
        <w:spacing w:after="60"/>
      </w:pPr>
      <w:r>
        <w:rPr>
          <w:rFonts w:ascii="Aptos" w:hAnsi="Aptos"/>
          <w:b w:val="0"/>
          <w:i w:val="0"/>
          <w:color w:val="000000"/>
          <w:sz w:val="21"/>
        </w:rPr>
        <w:t>Inventorier les réseaux, les ressources disponibles et les sauvegardes avant transformation.</w:t>
      </w:r>
    </w:p>
    <w:p>
      <w:pPr>
        <w:pStyle w:val="ListNumber"/>
        <w:spacing w:after="60"/>
      </w:pPr>
      <w:r>
        <w:rPr>
          <w:rFonts w:ascii="Aptos" w:hAnsi="Aptos"/>
          <w:b w:val="0"/>
          <w:i w:val="0"/>
          <w:color w:val="000000"/>
          <w:sz w:val="21"/>
        </w:rPr>
        <w:t>Créer les commutateurs isolés et reconstruire les VM dans le périmètre défini.</w:t>
      </w:r>
    </w:p>
    <w:p>
      <w:pPr>
        <w:pStyle w:val="ListNumber"/>
        <w:spacing w:after="60"/>
      </w:pPr>
      <w:r>
        <w:rPr>
          <w:rFonts w:ascii="Aptos" w:hAnsi="Aptos"/>
          <w:b w:val="0"/>
          <w:i w:val="0"/>
          <w:color w:val="000000"/>
          <w:sz w:val="21"/>
        </w:rPr>
        <w:t>Configurer les services, les identités, les partages, les GPO et les contrôles de sécurité.</w:t>
      </w:r>
    </w:p>
    <w:p>
      <w:pPr>
        <w:pStyle w:val="ListNumber"/>
        <w:spacing w:after="60"/>
      </w:pPr>
      <w:r>
        <w:rPr>
          <w:rFonts w:ascii="Aptos" w:hAnsi="Aptos"/>
          <w:b w:val="0"/>
          <w:i w:val="0"/>
          <w:color w:val="000000"/>
          <w:sz w:val="21"/>
        </w:rPr>
        <w:t>Exécuter les tests, les contre tests et les contrôles en lecture seule.</w:t>
      </w:r>
    </w:p>
    <w:p>
      <w:pPr>
        <w:pStyle w:val="ListNumber"/>
        <w:spacing w:after="60"/>
      </w:pPr>
      <w:r>
        <w:rPr>
          <w:rFonts w:ascii="Aptos" w:hAnsi="Aptos"/>
          <w:b w:val="0"/>
          <w:i w:val="0"/>
          <w:color w:val="000000"/>
          <w:sz w:val="21"/>
        </w:rPr>
        <w:t>Conserver les preuves expurgées et qualifier chaque constat selon son niveau de démonstration.</w:t>
      </w:r>
    </w:p>
    <w:p>
      <w:pPr>
        <w:pStyle w:val="Heading1"/>
        <w:keepNext/>
      </w:pPr>
      <w:r>
        <w:t>5 Audit d infrastructure</w:t>
      </w:r>
    </w:p>
    <w:p>
      <w:pPr>
        <w:pStyle w:val="Heading2"/>
        <w:keepNext/>
      </w:pPr>
      <w:r>
        <w:t>5 1 Politique de sécurité existante</w:t>
      </w:r>
    </w:p>
    <w:p>
      <w:r>
        <w:rPr>
          <w:rFonts w:ascii="Aptos" w:hAnsi="Aptos"/>
          <w:b w:val="0"/>
          <w:i w:val="0"/>
          <w:color w:val="000000"/>
          <w:sz w:val="21"/>
        </w:rPr>
        <w:t>La politique appliquée au laboratoire repose sur le cloisonnement des réseaux, le moindre privilège, l'administration par comptes dédiés, la désactivation des comptes de test hors scénario, la sauvegarde avant modification, la journalisation et la conservation de preuves. Le WAN de maintenance est séparé du LAN et de la zone AUDIT ; il est déconnecté pendant les scénarios d'audit.</w:t>
      </w:r>
    </w:p>
    <w:p>
      <w:pPr>
        <w:pStyle w:val="Heading2"/>
        <w:keepNext/>
      </w:pPr>
      <w:r>
        <w:t>5 2 Analyse de la gestion des risques</w:t>
      </w:r>
    </w:p>
    <w:p>
      <w:pPr>
        <w:pStyle w:val="Heading3"/>
        <w:keepNext/>
      </w:pPr>
      <w:r>
        <w:t>5 2 1 Identification des actifs sensibles</w:t>
      </w:r>
    </w:p>
    <w:p>
      <w:r>
        <w:rPr>
          <w:rFonts w:ascii="Aptos" w:hAnsi="Aptos"/>
          <w:b w:val="0"/>
          <w:i w:val="0"/>
          <w:color w:val="000000"/>
          <w:sz w:val="21"/>
        </w:rPr>
        <w:t>Les actifs prioritaires sont le contrôleur de domaine et ses identités, les partages de données, la configuration pfSense, les GPO, les exports de VM, les journaux et les preuves de recette. Leur disponibilité, intégrité ou confidentialité conditionne directement la valeur pédagogique et la défendabilité de l'audit.</w:t>
      </w:r>
    </w:p>
    <w:p>
      <w:pPr>
        <w:pStyle w:val="Heading3"/>
        <w:keepNext/>
      </w:pPr>
      <w:r>
        <w:t>5 2 2 Menaces et vulnérabilités</w:t>
      </w:r>
    </w:p>
    <w:p>
      <w:r>
        <w:rPr>
          <w:rFonts w:ascii="Aptos" w:hAnsi="Aptos"/>
          <w:b w:val="0"/>
          <w:i w:val="0"/>
          <w:color w:val="000000"/>
          <w:sz w:val="21"/>
        </w:rPr>
        <w:t>Les scénarios de risque considérés sont l'ouverture involontaire d'un flux entre zones, une attribution excessive de droits, une GPO non appliquée, une perte de preuve après restauration, une saturation de mémoire de l'hôte et l'absence de copie des sauvegardes sur un support distinct.</w:t>
      </w:r>
    </w:p>
    <w:p>
      <w:pPr>
        <w:pStyle w:val="Heading3"/>
        <w:keepNext/>
      </w:pPr>
      <w:r>
        <w:t>5 2 3 Évaluation des risques</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243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Risque</w:t>
            </w:r>
          </w:p>
        </w:tc>
        <w:tc>
          <w:tcPr>
            <w:tcW w:type="dxa" w:w="368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Mesure en place</w:t>
            </w:r>
          </w:p>
        </w:tc>
        <w:tc>
          <w:tcPr>
            <w:tcW w:type="dxa" w:w="311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Risque résiduel et action</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Communication non autorisée depuis AUDIT</w:t>
            </w:r>
          </w:p>
        </w:tc>
        <w:tc>
          <w:tcPr>
            <w:tcW w:type="dxa" w:w="368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Règles pfSense de blocage journalisées et WAN déconnecté.</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Faible à moyen ; rejouer les tests de recette.</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Droits excessifs sur les partages</w:t>
            </w:r>
          </w:p>
        </w:tc>
        <w:tc>
          <w:tcPr>
            <w:tcW w:type="dxa" w:w="368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AGDLP, ACL sans héritage ni groupe générique, tests ciblés.</w:t>
            </w:r>
          </w:p>
        </w:tc>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Moyen ; achever les contre tests interservices.</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Perte ou altération des preuves</w:t>
            </w:r>
          </w:p>
        </w:tc>
        <w:tc>
          <w:tcPr>
            <w:tcW w:type="dxa" w:w="368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Exports, hachages SHA 256 et journal de déploiement.</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Moyen ; archiver sur un support distinct.</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Indisponibilité de l'hôte</w:t>
            </w:r>
          </w:p>
        </w:tc>
        <w:tc>
          <w:tcPr>
            <w:tcW w:type="dxa" w:w="368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Profils mémoire et exports préalables des anciennes VM.</w:t>
            </w:r>
          </w:p>
        </w:tc>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Moyen ; tester une restauration et mesurer RTO RPO.</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Écart de gouvernance GPO</w:t>
            </w:r>
          </w:p>
        </w:tc>
        <w:tc>
          <w:tcPr>
            <w:tcW w:type="dxa" w:w="368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Rapports gpresult et GPOZaurr en lecture seule.</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Faible ; maintenir une revue périodique.</w:t>
            </w:r>
          </w:p>
        </w:tc>
      </w:tr>
    </w:tbl>
    <w:p>
      <w:pPr>
        <w:spacing w:after="40"/>
      </w:pPr>
    </w:p>
    <w:p>
      <w:pPr>
        <w:pStyle w:val="Heading2"/>
        <w:keepNext/>
      </w:pPr>
      <w:r>
        <w:t>5 3 Organisation de la sécurité</w:t>
      </w:r>
    </w:p>
    <w:p>
      <w:pPr>
        <w:pStyle w:val="Heading3"/>
        <w:keepNext/>
      </w:pPr>
      <w:r>
        <w:t>5 3 1 Rôles et responsabilités</w:t>
      </w:r>
    </w:p>
    <w:p>
      <w:r>
        <w:rPr>
          <w:rFonts w:ascii="Aptos" w:hAnsi="Aptos"/>
          <w:b w:val="0"/>
          <w:i w:val="0"/>
          <w:color w:val="000000"/>
          <w:sz w:val="21"/>
        </w:rPr>
        <w:t>La direction fictive arbitre les priorités ; l'équipe informatique administre les services, les comptes et les preuves ; les services métier portent les besoins d'accès. Cette séparation évite de confondre usage quotidien et administration. Les comptes administratifs sont distincts des comptes métier, et les comptes de test restent désactivés hors séance.</w:t>
      </w:r>
    </w:p>
    <w:p>
      <w:pPr>
        <w:pStyle w:val="Heading3"/>
        <w:keepNext/>
      </w:pPr>
      <w:r>
        <w:t>5 3 2 Plan de continuité et reprise</w:t>
      </w:r>
    </w:p>
    <w:p>
      <w:r>
        <w:rPr>
          <w:rFonts w:ascii="Aptos" w:hAnsi="Aptos"/>
          <w:b w:val="0"/>
          <w:i w:val="0"/>
          <w:color w:val="000000"/>
          <w:sz w:val="21"/>
        </w:rPr>
        <w:t>Les exports des anciennes VM représentent un retour arrière logique avant reconstruction. Des points de contrôle de référence ont aussi été créés de manière contrôlée. Ces mesures ne constituent pas une sauvegarde hors hôte : elles ne protègent pas contre une panne du disque physique. Le test de restauration et la mesure des objectifs RTO et RPO restent à réaliser.</w:t>
      </w:r>
    </w:p>
    <w:p>
      <w:pPr>
        <w:pStyle w:val="Heading3"/>
        <w:keepNext/>
      </w:pPr>
      <w:r>
        <w:t>5 3 3 Gestion des incidents</w:t>
      </w:r>
    </w:p>
    <w:p>
      <w:r>
        <w:rPr>
          <w:rFonts w:ascii="Aptos" w:hAnsi="Aptos"/>
          <w:b w:val="0"/>
          <w:i w:val="0"/>
          <w:color w:val="000000"/>
          <w:sz w:val="21"/>
        </w:rPr>
        <w:t>Un incident de laboratoire suit une chaîne simple : isoler la VM concernée, conserver l'état et les journaux, exporter les éléments utiles, analyser hors ligne, documenter le constat, corriger après sauvegarde, puis réaliser un contre test. Les journaux Sysmon et les rapports de configuration sont des entrées de cette chaîne, et non des verdicts automatiques.</w:t>
      </w:r>
    </w:p>
    <w:p>
      <w:pPr>
        <w:pStyle w:val="Heading3"/>
        <w:keepNext/>
      </w:pPr>
      <w:r>
        <w:t>5 3 4 Formation et sensibilisation</w:t>
      </w:r>
    </w:p>
    <w:p>
      <w:r>
        <w:rPr>
          <w:rFonts w:ascii="Aptos" w:hAnsi="Aptos"/>
          <w:b w:val="0"/>
          <w:i w:val="0"/>
          <w:color w:val="000000"/>
          <w:sz w:val="21"/>
        </w:rPr>
        <w:t>La sensibilisation doit couvrir l'usage des comptes nominatif et administratif, les mots de passe, les demandes d'accès, le signalement d'incident, la protection des données et la conservation des preuves. Une revue annuelle et un rappel lors de l'arrivée d'un collaborateur constituent un minimum raisonnable dans le scénario de PME.</w:t>
      </w:r>
    </w:p>
    <w:p>
      <w:pPr>
        <w:pStyle w:val="Heading2"/>
        <w:keepNext/>
      </w:pPr>
      <w:r>
        <w:t>5 4 Virtualisation et capacité de l hôte</w:t>
      </w:r>
    </w:p>
    <w:p>
      <w:r>
        <w:rPr>
          <w:rFonts w:ascii="Aptos" w:hAnsi="Aptos"/>
          <w:b w:val="0"/>
          <w:i w:val="0"/>
          <w:color w:val="000000"/>
          <w:sz w:val="21"/>
        </w:rPr>
        <w:t>L'hôte Windows 11 Professionnel utilise Hyper V avec environ 11,75 Gio de mémoire utilisable. Le profil métier démarre pfSense, le contrôleur de domaine et le poste Windows. Le profil audit serveur démarre pfSense, le contrôleur de domaine et Kali avec WAN déconnecté. Cette organisation conserve une marge pour l'hôte et réduit le risque de saturation.</w:t>
      </w:r>
    </w:p>
    <w:p>
      <w:pPr>
        <w:pStyle w:val="Heading2"/>
        <w:keepNext/>
      </w:pPr>
      <w:r>
        <w:t>5 5 Segmentation réseau</w:t>
      </w:r>
    </w:p>
    <w:p>
      <w:r>
        <w:rPr>
          <w:rFonts w:ascii="Aptos" w:hAnsi="Aptos"/>
          <w:b w:val="0"/>
          <w:i w:val="0"/>
          <w:color w:val="000000"/>
          <w:sz w:val="21"/>
        </w:rPr>
        <w:t>CC LAN et CC AUDIT sont des commutateurs privés ; CC WAN MAINT est un commutateur interne. L'interface de maintenance de l'hôte est configurée en 172.31.250.1 sans passerelle ni DNS. Le contrôleur de domaine et le poste ne disposent chacun que d'une carte sur CC LAN ; Kali ne dispose que d'une carte sur CC AUDIT. Aucune de ces VM ne rejoint le Wi Fi ni le Default Switch.</w:t>
      </w:r>
    </w:p>
    <w:p>
      <w:pPr>
        <w:pStyle w:val="Heading2"/>
        <w:keepNext/>
      </w:pPr>
      <w:r>
        <w:t>5 6 Pare feu et confinement</w:t>
      </w:r>
    </w:p>
    <w:p>
      <w:r>
        <w:rPr>
          <w:rFonts w:ascii="Aptos" w:hAnsi="Aptos"/>
          <w:b w:val="0"/>
          <w:i w:val="0"/>
          <w:color w:val="000000"/>
          <w:sz w:val="21"/>
        </w:rPr>
        <w:t>Sur pfSense, l'interface AUDIT reçoit une règle IPv4 de blocage journalisée vers toute destination. Le LAN contient une règle de blocage journalisée vers le sous réseau AUDIT. Les tests depuis CC KALI01 ont confirmé l'échec des tentatives ICMP vers la passerelle AUDIT, le contrôleur de domaine et Internet, avec confirmation dans les journaux du pare feu. L'IPv6 est désactivé dans le périmètre du laboratoire.</w:t>
      </w:r>
    </w:p>
    <w:p>
      <w:pPr>
        <w:pStyle w:val="Heading1"/>
        <w:keepNext/>
      </w:pPr>
      <w:r>
        <w:t>6 Audit technique et mise en œuvre</w:t>
      </w:r>
    </w:p>
    <w:p>
      <w:pPr>
        <w:pStyle w:val="Heading2"/>
        <w:keepNext/>
      </w:pPr>
      <w:r>
        <w:t>6 1 Cartographie technique</w:t>
      </w:r>
    </w:p>
    <w:p>
      <w:pPr>
        <w:pStyle w:val="Heading3"/>
        <w:keepNext/>
      </w:pPr>
      <w:r>
        <w:t>6 1 1 Structure de l infrastructure</w:t>
      </w:r>
    </w:p>
    <w:p>
      <w:pPr>
        <w:pStyle w:val="ListBullet"/>
        <w:spacing w:after="60"/>
      </w:pPr>
      <w:r>
        <w:rPr>
          <w:rFonts w:ascii="Aptos" w:hAnsi="Aptos"/>
          <w:b w:val="0"/>
          <w:i w:val="0"/>
          <w:color w:val="000000"/>
          <w:sz w:val="21"/>
        </w:rPr>
        <w:t>Journal de déploiement, inventaires Hyper V, configuration versionnée et recette CSV.</w:t>
      </w:r>
    </w:p>
    <w:p>
      <w:pPr>
        <w:pStyle w:val="ListBullet"/>
        <w:spacing w:after="60"/>
      </w:pPr>
      <w:r>
        <w:rPr>
          <w:rFonts w:ascii="Aptos" w:hAnsi="Aptos"/>
          <w:b w:val="0"/>
          <w:i w:val="0"/>
          <w:color w:val="000000"/>
          <w:sz w:val="21"/>
        </w:rPr>
        <w:t>Export de configuration pfSense et règles de confinement journalisées.</w:t>
      </w:r>
    </w:p>
    <w:p>
      <w:pPr>
        <w:pStyle w:val="ListBullet"/>
        <w:spacing w:after="60"/>
      </w:pPr>
      <w:r>
        <w:rPr>
          <w:rFonts w:ascii="Aptos" w:hAnsi="Aptos"/>
          <w:b w:val="0"/>
          <w:i w:val="0"/>
          <w:color w:val="000000"/>
          <w:sz w:val="21"/>
        </w:rPr>
        <w:t>Rapports GPO, gpresult, rapport GPOZaurr HTML et inventaire CSV.</w:t>
      </w:r>
    </w:p>
    <w:p>
      <w:pPr>
        <w:pStyle w:val="ListBullet"/>
        <w:spacing w:after="60"/>
      </w:pPr>
      <w:r>
        <w:rPr>
          <w:rFonts w:ascii="Aptos" w:hAnsi="Aptos"/>
          <w:b w:val="0"/>
          <w:i w:val="0"/>
          <w:color w:val="000000"/>
          <w:sz w:val="21"/>
        </w:rPr>
        <w:t>Export EVTX Sysmon, chronologie Hayabusa CSV et empreintes SHA 256 associées.</w:t>
      </w:r>
    </w:p>
    <w:p>
      <w:pPr>
        <w:pStyle w:val="ListBullet"/>
        <w:spacing w:after="60"/>
      </w:pPr>
      <w:r>
        <w:rPr>
          <w:rFonts w:ascii="Aptos" w:hAnsi="Aptos"/>
          <w:b w:val="0"/>
          <w:i w:val="0"/>
          <w:color w:val="000000"/>
          <w:sz w:val="21"/>
        </w:rPr>
        <w:t>Tests fonctionnels des partages, des permissions et du durcissement du poste.</w:t>
      </w:r>
    </w:p>
    <w:p>
      <w:r>
        <w:rPr>
          <w:rFonts w:ascii="Aptos" w:hAnsi="Aptos"/>
          <w:b w:val="0"/>
          <w:i w:val="0"/>
          <w:color w:val="000000"/>
          <w:sz w:val="21"/>
        </w:rPr>
        <w:t>La topologie sépare strictement le réseau métier, le réseau d'audit et le réseau de maintenance. Le trafic entre zones est contrôlé par pfSense. Le trafic entre le contrôleur de domaine et le poste reste local au LAN ; les ACL, GPO et le pare feu Windows complètent le contrôle des accès sur ce segment.</w:t>
      </w:r>
    </w:p>
    <w:tbl>
      <w:tblPr>
        <w:tblStyle w:val="TableGrid"/>
        <w:tblW w:type="auto" w:w="0"/>
        <w:tblLayout w:type="fixed"/>
        <w:tblLook w:firstColumn="1" w:firstRow="1" w:lastColumn="0" w:lastRow="0" w:noHBand="0" w:noVBand="1" w:val="04A0"/>
      </w:tblPr>
      <w:tblGrid>
        <w:gridCol w:w="2479"/>
        <w:gridCol w:w="2479"/>
        <w:gridCol w:w="2479"/>
        <w:gridCol w:w="2479"/>
      </w:tblGrid>
      <w:tr>
        <w:trPr>
          <w:tblHeader w:val="true"/>
        </w:trPr>
        <w:tc>
          <w:tcPr>
            <w:tcW w:type="dxa" w:w="181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Zone</w:t>
            </w:r>
          </w:p>
        </w:tc>
        <w:tc>
          <w:tcPr>
            <w:tcW w:type="dxa" w:w="181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Type Hyper V</w:t>
            </w:r>
          </w:p>
        </w:tc>
        <w:tc>
          <w:tcPr>
            <w:tcW w:type="dxa" w:w="311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Machines admises</w:t>
            </w:r>
          </w:p>
        </w:tc>
        <w:tc>
          <w:tcPr>
            <w:tcW w:type="dxa" w:w="249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Contrôle principal</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LAN</w:t>
            </w:r>
          </w:p>
        </w:tc>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Privé</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pfSense LAN, CC DC01, CC W11 01.</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Identités, ACL, GPO et pare feu Windows.</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AUDIT</w:t>
            </w:r>
          </w:p>
        </w:tc>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Privé</w:t>
            </w:r>
          </w:p>
        </w:tc>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pfSense AUDIT, CC KALI01.</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Refus par défaut et journalisation pfSense.</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WAN MAINT</w:t>
            </w:r>
          </w:p>
        </w:tc>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Interne</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Hôte et WAN pfSense seulement.</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Maintenance temporaire et WAN déconnecté en audit.</w:t>
            </w:r>
          </w:p>
        </w:tc>
      </w:tr>
    </w:tbl>
    <w:p>
      <w:pPr>
        <w:spacing w:after="40"/>
      </w:pPr>
    </w:p>
    <w:p>
      <w:pPr>
        <w:pStyle w:val="Heading2"/>
        <w:keepNext/>
      </w:pPr>
      <w:r>
        <w:t>6 2 Identités et Active Directory</w:t>
      </w:r>
    </w:p>
    <w:p>
      <w:r>
        <w:rPr>
          <w:rFonts w:ascii="Aptos" w:hAnsi="Aptos"/>
          <w:b w:val="0"/>
          <w:i w:val="0"/>
          <w:color w:val="000000"/>
          <w:sz w:val="21"/>
        </w:rPr>
        <w:t>Le domaine ad.cybercorp.test, avec le nom NetBIOS CYBERCORP, structure les comptes métier par service. Les utilisateurs sont rangés dans des unités d'organisation dédiées ; les comptes d'administration et de test sont séparés. Le contrôle de provisionnement a confirmé vingt-cinq comptes métier, deux comptes d'administration dédiés et deux comptes de test désactivés hors séance.</w:t>
      </w:r>
    </w:p>
    <w:p>
      <w:r>
        <w:rPr>
          <w:rFonts w:ascii="Aptos" w:hAnsi="Aptos"/>
          <w:b w:val="0"/>
          <w:i w:val="0"/>
          <w:color w:val="000000"/>
          <w:sz w:val="21"/>
        </w:rPr>
        <w:t>Le modèle AGDLP est retenu : les comptes rejoignent des groupes globaux de métier, lesquels sont associés à des groupes locaux de domaine portant les permissions. Les comptes d'administration ne sont pas utilisés pour les activités quotidiennes. Cette séparation réduit le risque d'un privilège accordé ou utilisé par inadvertance.</w:t>
      </w:r>
    </w:p>
    <w:p>
      <w:pPr>
        <w:pStyle w:val="Heading2"/>
        <w:keepNext/>
      </w:pPr>
      <w:r>
        <w:t>6 3 Partages et permissions</w:t>
      </w:r>
    </w:p>
    <w:p>
      <w:r>
        <w:rPr>
          <w:rFonts w:ascii="Aptos" w:hAnsi="Aptos"/>
          <w:b w:val="0"/>
          <w:i w:val="0"/>
          <w:color w:val="000000"/>
          <w:sz w:val="21"/>
        </w:rPr>
        <w:t>Les données de démonstration sont hébergées sur le volume E du contrôleur de domaine dans les partages Clients, Commun, Finance, RH, Syntheses et Technique. Les ACL NTFS sont appliquées sans héritage et ne font pas appel à Everyone, Utilisateurs ou Utilisateurs authentifiés. Les droits élevés sont réservés à Système et Administrateurs ; les groupes dédiés reçoivent uniquement les permissions nécessaires.</w:t>
      </w:r>
    </w:p>
    <w:p>
      <w:r>
        <w:rPr>
          <w:rFonts w:ascii="Aptos" w:hAnsi="Aptos"/>
          <w:b w:val="0"/>
          <w:i w:val="0"/>
          <w:color w:val="000000"/>
          <w:sz w:val="21"/>
        </w:rPr>
        <w:t>Les tests ont confirmé qu'un utilisateur Finance peut lire le partage Commun sans pouvoir y créer de fichier et qu'il est refusé sur le partage Clients. La recette doit encore inclure les contre tests prévus, notamment la confirmation formelle des refus interservices complémentaires.</w:t>
      </w:r>
    </w:p>
    <w:p>
      <w:pPr>
        <w:pStyle w:val="Heading2"/>
        <w:keepNext/>
      </w:pPr>
      <w:r>
        <w:t>6 4 Stratégies de groupe et durcissement</w:t>
      </w:r>
    </w:p>
    <w:p>
      <w:r>
        <w:rPr>
          <w:rFonts w:ascii="Aptos" w:hAnsi="Aptos"/>
          <w:b w:val="0"/>
          <w:i w:val="0"/>
          <w:color w:val="000000"/>
          <w:sz w:val="21"/>
        </w:rPr>
        <w:t>La GPO CC Domaine Comptes applique une longueur minimale de mot de passe de quatorze caractères, la complexité, un historique de vingt quatre mots de passe et un verrouillage après cinq échecs pendant quinze minutes. Une première saisie non enregistrée a été détectée grâce au rapport GPO XML, corrigée, puis vérifiée avec Get ADDefaultDomainPasswordPolicy. Ce cas démontre l'importance de contrôler le résultat effectif.</w:t>
      </w:r>
    </w:p>
    <w:p>
      <w:r>
        <w:rPr>
          <w:rFonts w:ascii="Aptos" w:hAnsi="Aptos"/>
          <w:b w:val="0"/>
          <w:i w:val="0"/>
          <w:color w:val="000000"/>
          <w:sz w:val="21"/>
        </w:rPr>
        <w:t>La GPO CC Postes Securite maintient Defender et la protection en temps réel, active le pare feu sur les trois profils, désactive SMB1 et les ouvertures invité SMB non sécurisées, impose le verrouillage de session après 600 secondes et interdit la connexion locale ou RDP aux administrateurs du domaine sur le poste métier. Le refus du compte Administrateur du domaine a été observé ; un compte local de secours demeure disponible.</w:t>
      </w:r>
    </w:p>
    <w:p>
      <w:pPr>
        <w:pStyle w:val="Heading2"/>
        <w:keepNext/>
      </w:pPr>
      <w:r>
        <w:t>6 5 Journalisation et analyse</w:t>
      </w:r>
    </w:p>
    <w:p>
      <w:r>
        <w:rPr>
          <w:rFonts w:ascii="Aptos" w:hAnsi="Aptos"/>
          <w:b w:val="0"/>
          <w:i w:val="0"/>
          <w:color w:val="000000"/>
          <w:sz w:val="21"/>
        </w:rPr>
        <w:t>Sysmon 15.22 a été déployé sur CC W11 01 avec une configuration volontairement restreinte. Le scénario contrôlé a généré une création de processus whoami, une connexion SMB vers CC DC01 et un changement d'horodatage de fichier. L'export EVTX final a été conservé avec son empreinte SHA 256.</w:t>
      </w:r>
    </w:p>
    <w:p>
      <w:r>
        <w:rPr>
          <w:rFonts w:ascii="Aptos" w:hAnsi="Aptos"/>
          <w:b w:val="0"/>
          <w:i w:val="0"/>
          <w:color w:val="000000"/>
          <w:sz w:val="21"/>
        </w:rPr>
        <w:t>Hayabusa 4.2.0 a analysé l'export EVTX hors ligne et produit une chronologie CSV. L'action pédagogique de changement d'horodatage est reliée à une règle Sysmon de niveau faible. Cette alerte est une trace attendue du scénario ; elle ne doit pas être interprétée isolément comme une compromission.</w:t>
      </w:r>
    </w:p>
    <w:p>
      <w:pPr>
        <w:pStyle w:val="Heading2"/>
        <w:keepNext/>
      </w:pPr>
      <w:r>
        <w:t>6 6 Gouvernance des GPO</w:t>
      </w:r>
    </w:p>
    <w:p>
      <w:r>
        <w:rPr>
          <w:rFonts w:ascii="Aptos" w:hAnsi="Aptos"/>
          <w:b w:val="0"/>
          <w:i w:val="0"/>
          <w:color w:val="000000"/>
          <w:sz w:val="21"/>
        </w:rPr>
        <w:t>GPOZaurr 1.1.13 a été exécuté en lecture seule sur CC DC01 le 20 octobre 2026. Le rapport ne relève aucune GPO orpheline, aucune incohérence AD SYSVOL et aucune GPO non évaluée faute de permission. Il confirme la présence active des stratégies natives et des deux GPO CyberCorp. Les rapports HTML et CSV ont été hachés ; aucune correction automatisée n'a été déclenchée.</w:t>
      </w:r>
    </w:p>
    <w:p>
      <w:pPr>
        <w:pStyle w:val="Heading1"/>
        <w:keepNext/>
      </w:pPr>
      <w:r>
        <w:t>7 Synthèse des résultats</w:t>
      </w:r>
    </w:p>
    <w:p>
      <w:pPr>
        <w:pStyle w:val="Heading2"/>
        <w:keepNext/>
      </w:pPr>
      <w:r>
        <w:t>7 1 Justification des choix technologiques</w:t>
      </w:r>
    </w:p>
    <w:p>
      <w:r>
        <w:rPr>
          <w:rFonts w:ascii="Aptos" w:hAnsi="Aptos"/>
          <w:b w:val="0"/>
          <w:i w:val="0"/>
          <w:color w:val="000000"/>
          <w:sz w:val="21"/>
        </w:rPr>
        <w:t>Hyper V permet d'isoler les composants et de conserver des exports de retour arrière. pfSense sépare les zones et rend les règles de filtrage observables. Active Directory structure les identités et les groupes. Les GPO homogénéisent le durcissement du poste. Sysmon et Hayabusa complètent les journaux Windows par une chaîne de détection hors ligne, tandis que GPOZaurr apporte un contrôle indépendant de la cohérence des stratégies.</w:t>
      </w:r>
    </w:p>
    <w:p>
      <w:pPr>
        <w:pStyle w:val="Heading2"/>
        <w:keepNext/>
      </w:pPr>
      <w:r>
        <w:t>7 2 Tableau récapitulatif des actions et durcissements</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243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Action</w:t>
            </w:r>
          </w:p>
        </w:tc>
        <w:tc>
          <w:tcPr>
            <w:tcW w:type="dxa" w:w="498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Preuve ou résultat</w:t>
            </w:r>
          </w:p>
        </w:tc>
        <w:tc>
          <w:tcPr>
            <w:tcW w:type="dxa" w:w="17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État</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Exports préalables des anciennes VM</w:t>
            </w:r>
          </w:p>
        </w:tc>
        <w:tc>
          <w:tcPr>
            <w:tcW w:type="dxa" w:w="498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Environ 54,04 Gio exportés et vérifiés avant reconstruction.</w:t>
            </w:r>
          </w:p>
        </w:tc>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Commutateurs isolés</w:t>
            </w:r>
          </w:p>
        </w:tc>
        <w:tc>
          <w:tcPr>
            <w:tcW w:type="dxa" w:w="498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CC LAN et CC AUDIT privés ; CC WAN MAINT interne.</w:t>
            </w:r>
          </w:p>
        </w:tc>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Confinement pfSense</w:t>
            </w:r>
          </w:p>
        </w:tc>
        <w:tc>
          <w:tcPr>
            <w:tcW w:type="dxa" w:w="498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Blocages AUDIT et LAN vers AUDIT constatés et journalisés.</w:t>
            </w:r>
          </w:p>
        </w:tc>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Identités et permissions</w:t>
            </w:r>
          </w:p>
        </w:tc>
        <w:tc>
          <w:tcPr>
            <w:tcW w:type="dxa" w:w="498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Comptes, groupes, ACL et tests Finance documentés.</w:t>
            </w:r>
          </w:p>
        </w:tc>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Durcissement Windows</w:t>
            </w:r>
          </w:p>
        </w:tc>
        <w:tc>
          <w:tcPr>
            <w:tcW w:type="dxa" w:w="498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GPO de domaine et de poste vérifiées par rapport et tests.</w:t>
            </w:r>
          </w:p>
        </w:tc>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Détection</w:t>
            </w:r>
          </w:p>
        </w:tc>
        <w:tc>
          <w:tcPr>
            <w:tcW w:type="dxa" w:w="498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Sysmon, EVTX, Hayabusa et GPOZaurr démontrés.</w:t>
            </w:r>
          </w:p>
        </w:tc>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w:t>
            </w:r>
          </w:p>
        </w:tc>
      </w:tr>
      <w:tr>
        <w:trPr>
          <w:cantSplit/>
        </w:trPr>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Nmap Ndiff et Conftest OPA</w:t>
            </w:r>
          </w:p>
        </w:tc>
        <w:tc>
          <w:tcPr>
            <w:tcW w:type="dxa" w:w="498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Scénarios et preuves prévus mais non exécutés.</w:t>
            </w:r>
          </w:p>
        </w:tc>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À réaliser</w:t>
            </w:r>
          </w:p>
        </w:tc>
      </w:tr>
      <w:tr>
        <w:trPr>
          <w:cantSplit/>
        </w:trPr>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Recette T01 à T15</w:t>
            </w:r>
          </w:p>
        </w:tc>
        <w:tc>
          <w:tcPr>
            <w:tcW w:type="dxa" w:w="498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Seul T10 est marqué validé dans le suivi de recette.</w:t>
            </w:r>
          </w:p>
        </w:tc>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À finaliser</w:t>
            </w:r>
          </w:p>
        </w:tc>
      </w:tr>
    </w:tbl>
    <w:p>
      <w:pPr>
        <w:spacing w:after="40"/>
      </w:pPr>
    </w:p>
    <w:p>
      <w:pPr>
        <w:pStyle w:val="Heading2"/>
        <w:keepNext/>
      </w:pPr>
      <w:r>
        <w:t>7 3 Risques majeurs à court et moyen terme</w:t>
      </w:r>
    </w:p>
    <w:p>
      <w:r>
        <w:rPr>
          <w:rFonts w:ascii="Aptos" w:hAnsi="Aptos"/>
          <w:b w:val="0"/>
          <w:i w:val="0"/>
          <w:color w:val="000000"/>
          <w:sz w:val="21"/>
        </w:rPr>
        <w:t>Les principaux risques résiduels sont la clôture incomplète de la recette, l'absence de restauration démontrée avec RTO et RPO, le stockage local unique des exports et le caractère non démontré des scénarios Nmap Ndiff et Conftest OPA. La priorité est d'exécuter les contre tests, de conserver les preuves datées, puis de mettre à jour la recette uniquement après vérification.</w:t>
      </w:r>
    </w:p>
    <w:p>
      <w:pPr>
        <w:pStyle w:val="Heading1"/>
        <w:keepNext/>
      </w:pPr>
      <w:r>
        <w:t>8 Audit organisationnel</w:t>
      </w:r>
    </w:p>
    <w:p>
      <w:pPr>
        <w:pStyle w:val="Heading2"/>
        <w:keepNext/>
      </w:pPr>
      <w:r>
        <w:t>8 1 Gouvernance de la sécurité</w:t>
      </w:r>
    </w:p>
    <w:p>
      <w:pPr>
        <w:pStyle w:val="Heading3"/>
        <w:keepNext/>
      </w:pPr>
      <w:r>
        <w:t>8 1 1 État des lieux</w:t>
      </w:r>
    </w:p>
    <w:p>
      <w:r>
        <w:rPr>
          <w:rFonts w:ascii="Aptos" w:hAnsi="Aptos"/>
          <w:b w:val="0"/>
          <w:i w:val="0"/>
          <w:color w:val="000000"/>
          <w:sz w:val="21"/>
        </w:rPr>
        <w:t>Le projet dispose d'une documentation structurée, d'un journal de déploiement, de fichiers de configuration versionnés et d'un tableau de bord privé en lecture seule. Les décisions de conservation, de reconstruction et de validation sont inscrites dans le journal, ce qui favorise la traçabilité.</w:t>
      </w:r>
    </w:p>
    <w:p>
      <w:pPr>
        <w:pStyle w:val="Heading3"/>
        <w:keepNext/>
      </w:pPr>
      <w:r>
        <w:t>8 1 2 Recommandations</w:t>
      </w:r>
    </w:p>
    <w:p>
      <w:pPr>
        <w:pStyle w:val="ListBullet"/>
        <w:spacing w:after="60"/>
      </w:pPr>
      <w:r>
        <w:rPr>
          <w:rFonts w:ascii="Aptos" w:hAnsi="Aptos"/>
          <w:b w:val="0"/>
          <w:i w:val="0"/>
          <w:color w:val="000000"/>
          <w:sz w:val="21"/>
        </w:rPr>
        <w:t>Prévoir une revue périodique des droits, des GPO, des sauvegardes et du registre de risques.</w:t>
      </w:r>
    </w:p>
    <w:p>
      <w:pPr>
        <w:pStyle w:val="ListBullet"/>
        <w:spacing w:after="60"/>
      </w:pPr>
      <w:r>
        <w:rPr>
          <w:rFonts w:ascii="Aptos" w:hAnsi="Aptos"/>
          <w:b w:val="0"/>
          <w:i w:val="0"/>
          <w:color w:val="000000"/>
          <w:sz w:val="21"/>
        </w:rPr>
        <w:t>Distinguer systématiquement les comptes d'administration des comptes métier.</w:t>
      </w:r>
    </w:p>
    <w:p>
      <w:pPr>
        <w:pStyle w:val="ListBullet"/>
        <w:spacing w:after="60"/>
      </w:pPr>
      <w:r>
        <w:rPr>
          <w:rFonts w:ascii="Aptos" w:hAnsi="Aptos"/>
          <w:b w:val="0"/>
          <w:i w:val="0"/>
          <w:color w:val="000000"/>
          <w:sz w:val="21"/>
        </w:rPr>
        <w:t>Conserver les preuves de recette dans un emplacement restreint, expurgé et sauvegardé.</w:t>
      </w:r>
    </w:p>
    <w:p>
      <w:pPr>
        <w:pStyle w:val="Heading2"/>
        <w:keepNext/>
      </w:pPr>
      <w:r>
        <w:t>8 2 Gestion des risques</w:t>
      </w:r>
    </w:p>
    <w:p>
      <w:pPr>
        <w:pStyle w:val="Heading3"/>
        <w:keepNext/>
      </w:pPr>
      <w:r>
        <w:t>8 2 1 État des lieux</w:t>
      </w:r>
    </w:p>
    <w:p>
      <w:r>
        <w:rPr>
          <w:rFonts w:ascii="Aptos" w:hAnsi="Aptos"/>
          <w:b w:val="0"/>
          <w:i w:val="0"/>
          <w:color w:val="000000"/>
          <w:sz w:val="21"/>
        </w:rPr>
        <w:t>L'approche par profils de VM, la séparation des réseaux, les comptes de test désactivés et les sauvegardes avant modification montrent une gestion des risques intégrée aux opérations. Les risques non clôturés sont identifiés dans le plan de finalisation plutôt que masqués par un statut global trop optimiste.</w:t>
      </w:r>
    </w:p>
    <w:p>
      <w:pPr>
        <w:pStyle w:val="Heading3"/>
        <w:keepNext/>
      </w:pPr>
      <w:r>
        <w:t>8 2 2 Synthèse de la cartographie des risques identifiés</w:t>
      </w:r>
    </w:p>
    <w:p>
      <w:r>
        <w:rPr>
          <w:rFonts w:ascii="Aptos" w:hAnsi="Aptos"/>
          <w:b w:val="0"/>
          <w:i w:val="0"/>
          <w:color w:val="000000"/>
          <w:sz w:val="21"/>
        </w:rPr>
        <w:t>Le risque le plus significatif concerne la capacité de restauration et la conservation des preuves. Viennent ensuite les droits d'accès, le respect du confinement durant les scénarios d'audit et la disponibilité de l'hôte. Les contrôles présents réduisent ces risques mais ne les éliminent pas tant que la recette et les contre tests ne sont pas terminés.</w:t>
      </w:r>
    </w:p>
    <w:p>
      <w:pPr>
        <w:pStyle w:val="Heading3"/>
        <w:keepNext/>
      </w:pPr>
      <w:r>
        <w:t>8 2 3 Recommandations</w:t>
      </w:r>
    </w:p>
    <w:p>
      <w:r>
        <w:rPr>
          <w:rFonts w:ascii="Aptos" w:hAnsi="Aptos"/>
          <w:b w:val="0"/>
          <w:i w:val="0"/>
          <w:color w:val="000000"/>
          <w:sz w:val="21"/>
        </w:rPr>
        <w:t>Mettre à jour un registre d'actions avec propriétaire, date cible, preuve attendue et critère de clôture. Chaque action corrective doit suivre la séquence sauvegarde, modification documentée, contrôle fonctionnel et contre test.</w:t>
      </w:r>
    </w:p>
    <w:p>
      <w:pPr>
        <w:pStyle w:val="Heading2"/>
        <w:keepNext/>
      </w:pPr>
      <w:r>
        <w:t>8 3 Conformité réglementaire</w:t>
      </w:r>
    </w:p>
    <w:p>
      <w:pPr>
        <w:pStyle w:val="Heading3"/>
        <w:keepNext/>
      </w:pPr>
      <w:r>
        <w:t>8 3 1 État des lieux</w:t>
      </w:r>
    </w:p>
    <w:p>
      <w:r>
        <w:rPr>
          <w:rFonts w:ascii="Aptos" w:hAnsi="Aptos"/>
          <w:b w:val="0"/>
          <w:i w:val="0"/>
          <w:color w:val="000000"/>
          <w:sz w:val="21"/>
        </w:rPr>
        <w:t>CyberCorp étant une organisation fictive, ce dossier ne constitue pas un audit de conformité juridique. Les principes de minimisation des données, de séparation des accès, de journalisation et d'expurgation des preuves sont néanmoins appliqués afin de rapprocher le laboratoire de pratiques responsables.</w:t>
      </w:r>
    </w:p>
    <w:p>
      <w:pPr>
        <w:pStyle w:val="Heading3"/>
        <w:keepNext/>
      </w:pPr>
      <w:r>
        <w:t>8 3 2 Recommandations</w:t>
      </w:r>
    </w:p>
    <w:p>
      <w:r>
        <w:rPr>
          <w:rFonts w:ascii="Aptos" w:hAnsi="Aptos"/>
          <w:b w:val="0"/>
          <w:i w:val="0"/>
          <w:color w:val="000000"/>
          <w:sz w:val="21"/>
        </w:rPr>
        <w:t>Dans un contexte réel, compléter le dispositif par une cartographie des traitements, une politique de conservation, une procédure de gestion des demandes d'accès et une analyse des obligations applicables. Aucun de ces éléments ne doit être déduit du seul laboratoire.</w:t>
      </w:r>
    </w:p>
    <w:p>
      <w:pPr>
        <w:pStyle w:val="Heading2"/>
        <w:keepNext/>
      </w:pPr>
      <w:r>
        <w:t>8 4 Plan de continuité et reprise d activité</w:t>
      </w:r>
    </w:p>
    <w:p>
      <w:pPr>
        <w:pStyle w:val="Heading3"/>
        <w:keepNext/>
      </w:pPr>
      <w:r>
        <w:t>8 4 1 Plan de continuité d activité</w:t>
      </w:r>
    </w:p>
    <w:p>
      <w:r>
        <w:rPr>
          <w:rFonts w:ascii="Aptos" w:hAnsi="Aptos"/>
          <w:b w:val="0"/>
          <w:i w:val="0"/>
          <w:color w:val="000000"/>
          <w:sz w:val="21"/>
        </w:rPr>
        <w:t>La continuité repose actuellement sur des profils de démarrage adaptés à la mémoire disponible, l'isolement des zones et la documentation des configurations. Le maintien de la marge mémoire et l'arrêt des VM non nécessaires limitent le risque de saturation de l'hôte.</w:t>
      </w:r>
    </w:p>
    <w:p>
      <w:pPr>
        <w:pStyle w:val="Heading3"/>
        <w:keepNext/>
      </w:pPr>
      <w:r>
        <w:t>8 4 2 Plan de reprise d activité</w:t>
      </w:r>
    </w:p>
    <w:p>
      <w:r>
        <w:rPr>
          <w:rFonts w:ascii="Aptos" w:hAnsi="Aptos"/>
          <w:b w:val="0"/>
          <w:i w:val="0"/>
          <w:color w:val="000000"/>
          <w:sz w:val="21"/>
        </w:rPr>
        <w:t>Les exports préalables et points de contrôle apportent une capacité de retour arrière logique. La reprise ne peut toutefois être considérée comme démontrée avant une restauration contrôlée, vérifiée et mesurée.</w:t>
      </w:r>
    </w:p>
    <w:p>
      <w:pPr>
        <w:pStyle w:val="Heading3"/>
        <w:keepNext/>
      </w:pPr>
      <w:r>
        <w:t>8 4 3 Recommandations PCA PRA</w:t>
      </w:r>
    </w:p>
    <w:p>
      <w:r>
        <w:rPr>
          <w:rFonts w:ascii="Aptos" w:hAnsi="Aptos"/>
          <w:b w:val="0"/>
          <w:i w:val="0"/>
          <w:color w:val="000000"/>
          <w:sz w:val="21"/>
        </w:rPr>
        <w:t>Tester la restauration d'une VM ou d'un clone isolé, mesurer le délai de remise en service et la perte de données acceptable, puis reporter les valeurs RTO et RPO dans le plan. Ajouter une copie des exports sur un support distinct de l'hôte.</w:t>
      </w:r>
    </w:p>
    <w:p>
      <w:pPr>
        <w:pStyle w:val="Heading2"/>
        <w:keepNext/>
      </w:pPr>
      <w:r>
        <w:t>8 5 Sauvegardes</w:t>
      </w:r>
    </w:p>
    <w:p>
      <w:pPr>
        <w:pStyle w:val="Heading3"/>
        <w:keepNext/>
      </w:pPr>
      <w:r>
        <w:t>8 5 1 État des lieux</w:t>
      </w:r>
    </w:p>
    <w:p>
      <w:r>
        <w:rPr>
          <w:rFonts w:ascii="Aptos" w:hAnsi="Aptos"/>
          <w:b w:val="0"/>
          <w:i w:val="0"/>
          <w:color w:val="000000"/>
          <w:sz w:val="21"/>
        </w:rPr>
        <w:t>Les exports de PFSENSE01, CLIENT01 et DC01 ont été vérifiés avant reconstruction, pour un total d'environ 54,04 Gio. Ils protègent contre une erreur de configuration ou de suppression logique, mais restent sur le même disque physique et ne couvrent donc pas une panne de ce support.</w:t>
      </w:r>
    </w:p>
    <w:p>
      <w:pPr>
        <w:pStyle w:val="Heading3"/>
        <w:keepNext/>
      </w:pPr>
      <w:r>
        <w:t>8 5 2 Recommandations</w:t>
      </w:r>
    </w:p>
    <w:p>
      <w:r>
        <w:rPr>
          <w:rFonts w:ascii="Aptos" w:hAnsi="Aptos"/>
          <w:b w:val="0"/>
          <w:i w:val="0"/>
          <w:color w:val="000000"/>
          <w:sz w:val="21"/>
        </w:rPr>
        <w:t>Appliquer une règle de copie sur support distinct, vérifier périodiquement l'intégrité des exports et documenter un exercice de restauration. Les données et secrets de démonstration doivent rester séparés des preuves destinées à la soutenance.</w:t>
      </w:r>
    </w:p>
    <w:p>
      <w:pPr>
        <w:pStyle w:val="Heading2"/>
        <w:keepNext/>
      </w:pPr>
      <w:r>
        <w:t>8 6 Gestion des coûts budget</w:t>
      </w:r>
    </w:p>
    <w:p>
      <w:pPr>
        <w:pStyle w:val="Heading3"/>
        <w:keepNext/>
      </w:pPr>
      <w:r>
        <w:t>8 6 1 Estimation budgétaire indicative</w:t>
      </w:r>
    </w:p>
    <w:p>
      <w:r>
        <w:rPr>
          <w:rFonts w:ascii="Aptos" w:hAnsi="Aptos"/>
          <w:b w:val="0"/>
          <w:i w:val="0"/>
          <w:color w:val="000000"/>
          <w:sz w:val="21"/>
        </w:rPr>
        <w:t>Le laboratoire privilégie les composants déjà disponibles ou gratuits pour l'usage pédagogique : Hyper V, éditions d'évaluation Windows, pfSense Community Edition, Kali, Sysmon, Hayabusa, GPOZaurr et outils de configuration. Cette sobriété réduit le coût direct mais ne dispense pas de considérer le temps d'administration, le stockage des exports et une éventuelle augmentation de mémoire ou de capacité de sauvegarde.</w:t>
      </w:r>
    </w:p>
    <w:p>
      <w:pPr>
        <w:pStyle w:val="Heading3"/>
        <w:keepNext/>
      </w:pPr>
      <w:r>
        <w:t>8 6 2 Priorisation budgétaire recommandée</w:t>
      </w:r>
    </w:p>
    <w:p>
      <w:pPr>
        <w:pStyle w:val="ListNumber"/>
        <w:spacing w:after="60"/>
      </w:pPr>
      <w:r>
        <w:rPr>
          <w:rFonts w:ascii="Aptos" w:hAnsi="Aptos"/>
          <w:b w:val="0"/>
          <w:i w:val="0"/>
          <w:color w:val="000000"/>
          <w:sz w:val="21"/>
        </w:rPr>
        <w:t>Support de sauvegarde distinct et test de restauration.</w:t>
      </w:r>
    </w:p>
    <w:p>
      <w:pPr>
        <w:pStyle w:val="ListNumber"/>
        <w:spacing w:after="60"/>
      </w:pPr>
      <w:r>
        <w:rPr>
          <w:rFonts w:ascii="Aptos" w:hAnsi="Aptos"/>
          <w:b w:val="0"/>
          <w:i w:val="0"/>
          <w:color w:val="000000"/>
          <w:sz w:val="21"/>
        </w:rPr>
        <w:t>Capacité mémoire ou stockage si la marge de l'hôte devient insuffisante.</w:t>
      </w:r>
    </w:p>
    <w:p>
      <w:pPr>
        <w:pStyle w:val="ListNumber"/>
        <w:spacing w:after="60"/>
      </w:pPr>
      <w:r>
        <w:rPr>
          <w:rFonts w:ascii="Aptos" w:hAnsi="Aptos"/>
          <w:b w:val="0"/>
          <w:i w:val="0"/>
          <w:color w:val="000000"/>
          <w:sz w:val="21"/>
        </w:rPr>
        <w:t>Temps de revue, d'exécution de recette et de maintien de la documentation.</w:t>
      </w:r>
    </w:p>
    <w:p>
      <w:pPr>
        <w:pStyle w:val="Heading2"/>
        <w:keepNext/>
      </w:pPr>
      <w:r>
        <w:t>8 7 Matrice de responsabilités volet organisationnel</w:t>
      </w:r>
    </w:p>
    <w:tbl>
      <w:tblPr>
        <w:tblStyle w:val="TableGrid"/>
        <w:tblW w:type="auto" w:w="0"/>
        <w:tblLayout w:type="fixed"/>
        <w:tblLook w:firstColumn="1" w:firstRow="1" w:lastColumn="0" w:lastRow="0" w:noHBand="0" w:noVBand="1" w:val="04A0"/>
      </w:tblPr>
      <w:tblGrid>
        <w:gridCol w:w="3305"/>
        <w:gridCol w:w="3305"/>
        <w:gridCol w:w="3305"/>
      </w:tblGrid>
      <w:tr>
        <w:trPr>
          <w:tblHeader w:val="true"/>
        </w:trPr>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Outil</w:t>
            </w:r>
          </w:p>
        </w:tc>
        <w:tc>
          <w:tcPr>
            <w:tcW w:type="dxa" w:w="470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Fonction</w:t>
            </w:r>
          </w:p>
        </w:tc>
        <w:tc>
          <w:tcPr>
            <w:tcW w:type="dxa" w:w="311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État</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Nmap Ndiff</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Comparer l'exposition réseau autorisée.</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Prévu.</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Sysmon</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Produire la télémétrie endpoint Windows.</w:t>
            </w:r>
          </w:p>
        </w:tc>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Déployé et démontré sur CC W11 01.</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Hayabusa</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Analyser les EVTX hors ligne et construire une chronologie.</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Démontré sur l'export Sysmon.</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GPOZaurr</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Contrôler la cohérence des GPO en lecture seule.</w:t>
            </w:r>
          </w:p>
        </w:tc>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Exécuté sur CC DC01.</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Conftest OPA</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Vérifier des invariants de topologie versionnés.</w:t>
            </w:r>
          </w:p>
        </w:tc>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Prévu.</w:t>
            </w:r>
          </w:p>
        </w:tc>
      </w:tr>
    </w:tbl>
    <w:p>
      <w:pPr>
        <w:spacing w:after="40"/>
      </w:pPr>
    </w:p>
    <w:p>
      <w:pPr>
        <w:pStyle w:val="Heading2"/>
        <w:keepNext/>
      </w:pPr>
      <w:r>
        <w:t>Annexe C Références de preuve</w:t>
      </w:r>
    </w:p>
    <w:tbl>
      <w:tblPr>
        <w:tblStyle w:val="TableGrid"/>
        <w:tblW w:type="auto" w:w="0"/>
        <w:tblLayout w:type="fixed"/>
        <w:tblLook w:firstColumn="1" w:firstRow="1" w:lastColumn="0" w:lastRow="0" w:noHBand="0" w:noVBand="1" w:val="04A0"/>
      </w:tblPr>
      <w:tblGrid>
        <w:gridCol w:w="2479"/>
        <w:gridCol w:w="2479"/>
        <w:gridCol w:w="2479"/>
        <w:gridCol w:w="2479"/>
      </w:tblGrid>
      <w:tr>
        <w:trPr>
          <w:tblHeader w:val="true"/>
        </w:trPr>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Sujet</w:t>
            </w:r>
          </w:p>
        </w:tc>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Direction</w:t>
            </w:r>
          </w:p>
        </w:tc>
        <w:tc>
          <w:tcPr>
            <w:tcW w:type="dxa" w:w="272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Informatique</w:t>
            </w:r>
          </w:p>
        </w:tc>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Métiers</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Priorités et risques</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Arbitre et suit.</w:t>
            </w:r>
          </w:p>
        </w:tc>
        <w:tc>
          <w:tcPr>
            <w:tcW w:type="dxa" w:w="272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Prépare l'analyse.</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Exprime les besoins.</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Accès et droits</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Valide les besoins sensibles.</w:t>
            </w:r>
          </w:p>
        </w:tc>
        <w:tc>
          <w:tcPr>
            <w:tcW w:type="dxa" w:w="272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Administre et trace.</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Utilise selon le besoin.</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Sauvegarde et reprise</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Alloue les moyens.</w:t>
            </w:r>
          </w:p>
        </w:tc>
        <w:tc>
          <w:tcPr>
            <w:tcW w:type="dxa" w:w="272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Exécute et teste.</w:t>
            </w:r>
          </w:p>
        </w:tc>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Participe à la recette.</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Incident et preuve</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Suit les décisions majeures.</w:t>
            </w:r>
          </w:p>
        </w:tc>
        <w:tc>
          <w:tcPr>
            <w:tcW w:type="dxa" w:w="272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Isole, analyse et documente.</w:t>
            </w:r>
          </w:p>
        </w:tc>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Signale les anomalies.</w:t>
            </w:r>
          </w:p>
        </w:tc>
      </w:tr>
    </w:tbl>
    <w:p>
      <w:pPr>
        <w:spacing w:after="40"/>
      </w:pPr>
    </w:p>
    <w:p>
      <w:pPr>
        <w:pStyle w:val="Heading2"/>
        <w:keepNext/>
      </w:pPr>
      <w:r>
        <w:t>8 8 Synthèse de l audit organisationnel</w:t>
      </w:r>
    </w:p>
    <w:p>
      <w:r>
        <w:rPr>
          <w:rFonts w:ascii="Aptos" w:hAnsi="Aptos"/>
          <w:b w:val="0"/>
          <w:i w:val="0"/>
          <w:color w:val="000000"/>
          <w:sz w:val="21"/>
        </w:rPr>
        <w:t>Les contrôles techniques sont soutenus par une documentation et une logique de preuve solides. La maturité attendue dépend désormais de la clôture de la recette, d'une restauration démontrée, d'une copie des sauvegardes sur support distinct et d'un suivi formel des actions correctives.</w:t>
      </w:r>
    </w:p>
    <w:p>
      <w:pPr>
        <w:pStyle w:val="Heading1"/>
        <w:keepNext/>
      </w:pPr>
      <w:r>
        <w:t>9 Conclusions et remerciements</w:t>
      </w:r>
    </w:p>
    <w:p>
      <w:pPr>
        <w:pStyle w:val="Heading2"/>
        <w:keepNext/>
      </w:pPr>
      <w:r>
        <w:t>9 1 Conclusion</w:t>
      </w:r>
    </w:p>
    <w:p>
      <w:r>
        <w:rPr>
          <w:rFonts w:ascii="Aptos" w:hAnsi="Aptos"/>
          <w:b w:val="0"/>
          <w:i w:val="0"/>
          <w:color w:val="000000"/>
          <w:sz w:val="21"/>
        </w:rPr>
        <w:t>CyberCorp dispose d'un socle de sécurité cohérent et étayé par des éléments vérifiables : segmentation réseau, filtrage pfSense, identités structurées, permissions de partage, stratégies de sécurité, télémétrie Sysmon, analyse Hayabusa et audit GPOZaurr. Le projet a également démontré une capacité de diagnostic et de correction, notamment lors de la vérification effective de la GPO de domaine.</w:t>
      </w:r>
    </w:p>
    <w:p>
      <w:r>
        <w:rPr>
          <w:rFonts w:ascii="Aptos" w:hAnsi="Aptos"/>
          <w:b w:val="0"/>
          <w:i w:val="0"/>
          <w:color w:val="000000"/>
          <w:sz w:val="21"/>
        </w:rPr>
        <w:t>La recette complète ne peut pas encore être déclarée terminée. La prochaine étape est de rejouer les scénarios restants dans les profils de VM définis, de conserver les preuves datées et de mettre à jour les statuts seulement après vérification. Cette exigence rend le dossier plus fiable qu'une simple déclaration de configuration.</w:t>
      </w:r>
    </w:p>
    <w:p>
      <w:pPr>
        <w:pStyle w:val="Heading2"/>
        <w:keepNext/>
      </w:pPr>
      <w:r>
        <w:t>9 2 Pistes d évolution</w:t>
      </w:r>
    </w:p>
    <w:p>
      <w:pPr>
        <w:pStyle w:val="ListBullet"/>
        <w:spacing w:after="60"/>
      </w:pPr>
      <w:r>
        <w:rPr>
          <w:rFonts w:ascii="Aptos" w:hAnsi="Aptos"/>
          <w:b w:val="0"/>
          <w:i w:val="0"/>
          <w:color w:val="000000"/>
          <w:sz w:val="21"/>
        </w:rPr>
        <w:t>Clôturer T01 à T15, avec les contre tests et preuves attendues.</w:t>
      </w:r>
    </w:p>
    <w:p>
      <w:pPr>
        <w:pStyle w:val="ListBullet"/>
        <w:spacing w:after="60"/>
      </w:pPr>
      <w:r>
        <w:rPr>
          <w:rFonts w:ascii="Aptos" w:hAnsi="Aptos"/>
          <w:b w:val="0"/>
          <w:i w:val="0"/>
          <w:color w:val="000000"/>
          <w:sz w:val="21"/>
        </w:rPr>
        <w:t>Réaliser le scénario Nmap Ndiff avec une règle temporaire puis son retrait vérifié.</w:t>
      </w:r>
    </w:p>
    <w:p>
      <w:pPr>
        <w:pStyle w:val="ListBullet"/>
        <w:spacing w:after="60"/>
      </w:pPr>
      <w:r>
        <w:rPr>
          <w:rFonts w:ascii="Aptos" w:hAnsi="Aptos"/>
          <w:b w:val="0"/>
          <w:i w:val="0"/>
          <w:color w:val="000000"/>
          <w:sz w:val="21"/>
        </w:rPr>
        <w:t>Mettre en place les politiques Conftest OPA avec un résultat conforme et un écart contrôlé.</w:t>
      </w:r>
    </w:p>
    <w:p>
      <w:pPr>
        <w:pStyle w:val="ListBullet"/>
        <w:spacing w:after="60"/>
      </w:pPr>
      <w:r>
        <w:rPr>
          <w:rFonts w:ascii="Aptos" w:hAnsi="Aptos"/>
          <w:b w:val="0"/>
          <w:i w:val="0"/>
          <w:color w:val="000000"/>
          <w:sz w:val="21"/>
        </w:rPr>
        <w:t>Tester la restauration, mesurer RTO RPO et conserver une copie sur support distinct.</w:t>
      </w:r>
    </w:p>
    <w:p>
      <w:pPr>
        <w:pStyle w:val="ListBullet"/>
        <w:spacing w:after="60"/>
      </w:pPr>
      <w:r>
        <w:rPr>
          <w:rFonts w:ascii="Aptos" w:hAnsi="Aptos"/>
          <w:b w:val="0"/>
          <w:i w:val="0"/>
          <w:color w:val="000000"/>
          <w:sz w:val="21"/>
        </w:rPr>
        <w:t>Étendre progressivement la revue de configuration et la gouvernance des preuves.</w:t>
      </w:r>
    </w:p>
    <w:p>
      <w:pPr>
        <w:pStyle w:val="Heading2"/>
        <w:keepNext/>
      </w:pPr>
      <w:r>
        <w:t>9 3 Remerciements</w:t>
      </w:r>
    </w:p>
    <w:p>
      <w:r>
        <w:rPr>
          <w:rFonts w:ascii="Aptos" w:hAnsi="Aptos"/>
          <w:b w:val="0"/>
          <w:i w:val="0"/>
          <w:color w:val="000000"/>
          <w:sz w:val="21"/>
        </w:rPr>
        <w:t>Ce projet s'inscrit dans une démarche pédagogique de conception, d'administration et d'audit. Les échanges ayant accompagné le déploiement ont permis de formaliser les choix, de valider les étapes critiques et d'améliorer la traçabilité des résultats.</w:t>
      </w:r>
    </w:p>
    <w:p>
      <w:pPr>
        <w:pStyle w:val="Heading1"/>
        <w:keepNext/>
      </w:pPr>
      <w:r>
        <w:t>10 Annexes</w:t>
      </w:r>
    </w:p>
    <w:p>
      <w:pPr>
        <w:pStyle w:val="Heading2"/>
        <w:keepNext/>
      </w:pPr>
      <w:r>
        <w:t>Annexe A Inventaire synthétique</w:t>
      </w:r>
    </w:p>
    <w:tbl>
      <w:tblPr>
        <w:tblStyle w:val="TableGrid"/>
        <w:tblW w:type="auto" w:w="0"/>
        <w:tblLayout w:type="fixed"/>
        <w:tblLook w:firstColumn="1" w:firstRow="1" w:lastColumn="0" w:lastRow="0" w:noHBand="0" w:noVBand="1" w:val="04A0"/>
      </w:tblPr>
      <w:tblGrid>
        <w:gridCol w:w="2479"/>
        <w:gridCol w:w="2479"/>
        <w:gridCol w:w="2479"/>
        <w:gridCol w:w="2479"/>
      </w:tblGrid>
      <w:tr>
        <w:trPr>
          <w:tblHeader w:val="true"/>
        </w:trPr>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Élément</w:t>
            </w:r>
          </w:p>
        </w:tc>
        <w:tc>
          <w:tcPr>
            <w:tcW w:type="dxa" w:w="243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Version ou système</w:t>
            </w:r>
          </w:p>
        </w:tc>
        <w:tc>
          <w:tcPr>
            <w:tcW w:type="dxa" w:w="306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Rôle</w:t>
            </w:r>
          </w:p>
        </w:tc>
        <w:tc>
          <w:tcPr>
            <w:tcW w:type="dxa" w:w="232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Pr>
                <w:rFonts w:ascii="Aptos" w:hAnsi="Aptos"/>
                <w:b/>
                <w:i w:val="0"/>
                <w:color w:val="FFFFFF"/>
                <w:sz w:val="16"/>
              </w:rPr>
              <w:t>Adresse principale</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PFS01</w:t>
            </w:r>
          </w:p>
        </w:tc>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pfSense CE 2.9.0</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Routeur et pare feu.</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10.77.10.1 et 10.77.20.1.</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DC01</w:t>
            </w:r>
          </w:p>
        </w:tc>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Windows Server 2025</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AD DS, DNS et fichiers.</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10.77.10.10.</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W11 01</w:t>
            </w:r>
          </w:p>
        </w:tc>
        <w:tc>
          <w:tcPr>
            <w:tcW w:type="dxa" w:w="243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Windows 11 Pro</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Poste métier joint au domaine.</w:t>
            </w:r>
          </w:p>
        </w:tc>
        <w:tc>
          <w:tcPr>
            <w:tcW w:type="dxa" w:w="232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10.77.10.100.</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000000"/>
                <w:sz w:val="16"/>
              </w:rPr>
              <w:t>CC KALI01</w:t>
            </w:r>
          </w:p>
        </w:tc>
        <w:tc>
          <w:tcPr>
            <w:tcW w:type="dxa" w:w="243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Kali Linux</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Station d'audit contrôlé.</w:t>
            </w:r>
          </w:p>
        </w:tc>
        <w:tc>
          <w:tcPr>
            <w:tcW w:type="dxa" w:w="232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6"/>
              </w:rPr>
              <w:t>10.77.20.50.</w:t>
            </w:r>
          </w:p>
        </w:tc>
      </w:tr>
    </w:tbl>
    <w:p>
      <w:pPr>
        <w:spacing w:after="40"/>
      </w:pPr>
    </w:p>
    <w:p>
      <w:pPr>
        <w:pStyle w:val="Heading2"/>
        <w:keepNext/>
      </w:pPr>
      <w:r>
        <w:t>Annexe B Outils de sécurité</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5959"/>
        <w:sz w:val="17"/>
      </w:rPr>
      <w:t xml:space="preserve">Henri Pissa  |  Situation au 20 octobre 2026  |  Page </w:t>
    </w:r>
    <w:r>
      <w:rPr>
        <w:rFonts w:ascii="Aptos" w:hAnsi="Aptos"/>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95959"/>
        <w:sz w:val="17"/>
      </w:rPr>
      <w:t>CyberCorp  |  Rapport de conception et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CyberCorp Rapport de conception et audit</dc:title>
  <dc:subject>Dossier de projet et audit de cybersécurité</dc:subject>
  <dc:creator>Henri Pissa</dc:creator>
  <cp:keywords/>
  <dc:description>Document consolidé à partir des éléments de projet disponibles au 20 octobre 2026.</dc:description>
  <cp:lastModifiedBy/>
  <cp:revision>1</cp:revision>
  <dcterms:created xsi:type="dcterms:W3CDTF">2013-12-23T23:15:00Z</dcterms:created>
  <dcterms:modified xsi:type="dcterms:W3CDTF">2013-12-23T23:15:00Z</dcterms:modified>
  <cp:category/>
</cp:coreProperties>
</file>