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1565C0"/>
          <w:sz w:val="48"/>
        </w:rPr>
        <w:t>WeatherCast 🌦️</w:t>
      </w:r>
    </w:p>
    <w:p>
      <w:pPr>
        <w:spacing w:after="320"/>
        <w:jc w:val="center"/>
      </w:pPr>
      <w:r>
        <w:rPr>
          <w:b/>
          <w:color w:val="505050"/>
          <w:sz w:val="26"/>
        </w:rPr>
        <w:t>Maharashtra Weather Pattern Analysis &amp; Next-Day Rain Prediction</w:t>
        <w:br/>
        <w:t>ML Case Study 75 — Final Project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Course / Academic Level</w:t>
            </w:r>
          </w:p>
        </w:tc>
        <w:tc>
          <w:tcPr>
            <w:tcW w:type="dxa" w:w="451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B.Tech Semester V — Machine Learning</w:t>
            </w:r>
          </w:p>
        </w:tc>
      </w:tr>
      <w:tr>
        <w:tc>
          <w:tcPr>
            <w:tcW w:type="dxa" w:w="4514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Project Identifier</w:t>
            </w:r>
          </w:p>
        </w:tc>
        <w:tc>
          <w:tcPr>
            <w:tcW w:type="dxa" w:w="451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Case Study 75 (Weather Pattern Analysis)</w:t>
            </w:r>
          </w:p>
        </w:tc>
      </w:tr>
      <w:tr>
        <w:tc>
          <w:tcPr>
            <w:tcW w:type="dxa" w:w="4514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Variable</w:t>
            </w:r>
          </w:p>
        </w:tc>
        <w:tc>
          <w:tcPr>
            <w:tcW w:type="dxa" w:w="451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rain_tomorrow (Binary: 1 = Rain, 0 = No Rain)</w:t>
            </w:r>
          </w:p>
        </w:tc>
      </w:tr>
      <w:tr>
        <w:tc>
          <w:tcPr>
            <w:tcW w:type="dxa" w:w="4514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Geographic Scope</w:t>
            </w:r>
          </w:p>
        </w:tc>
        <w:tc>
          <w:tcPr>
            <w:tcW w:type="dxa" w:w="451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8 Representative Locations across Maharashtra, India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1565C0"/>
          <w:sz w:val="28"/>
        </w:rPr>
        <w:t>1. Abstract</w:t>
      </w:r>
    </w:p>
    <w:p>
      <w:r>
        <w:t>Weather forecasting plays a vital role in agriculture, water management, disaster preparedness, and daily urban planning across Maharashtra. This case study develops WeatherCast, an end-to-end machine learning pipeline for next-day rain prediction (binary classification: rain_tomorrow = 1/0) across 8 representative locations in Maharashtra over a 25-year historical period (2000–2024, 72,691 observations). The data was collected from the Open-Meteo Historical Weather API based on the ECMWF ERA5 reanalysis model. A zero-leakage feature-engineering pipeline transformed raw atmospheric variables into 35 base features, including cyclical temporal encodings, multi-day lag metrics, and strictly backward-looking rolling statistics. Three models were developed and tuned using chronological splits (Train: 2000–2022, Validation: 2023, Test: 2024): Logistic Regression, Random Forest, and Gradient Boosting. Gradient Boosting achieved the highest overall performance with a Validation ROC-AUC of 0.9499, Test ROC-AUC of 0.9714, Test F1-score of 0.9014, and superior probability calibration (Test Brier score: 0.0665). An interactive Streamlit web application was developed where users select a city, automatically fetching live atmospheric observations to generate real-time rain predictions and calibrated confidence scores.</w:t>
      </w:r>
    </w:p>
    <w:p>
      <w:pPr>
        <w:keepNext/>
        <w:spacing w:before="280" w:after="80"/>
      </w:pPr>
      <w:r>
        <w:rPr>
          <w:rFonts w:ascii="Calibri" w:hAnsi="Calibri"/>
          <w:b/>
          <w:color w:val="1565C0"/>
          <w:sz w:val="28"/>
        </w:rPr>
        <w:t>2. Introduction</w:t>
      </w:r>
    </w:p>
    <w:p>
      <w:r>
        <w:t>Precipitation prediction is one of the most challenging problems in atmospheric science due to highly dynamic thermodynamic interactions, terrain-induced (orographic) effects, and localized convective instability. In Maharashtra, accurate next-day rainfall forecasting is critical because rainfall exhibits drastic spatial variability—ranging from over 3,000 mm annually in the coastal Konkan belt to under 600 mm in the central rain-shadow plateau of Madhya Maharashtra and Marathwada.</w:t>
      </w:r>
    </w:p>
    <w:p>
      <w:r>
        <w:t>While traditional numerical weather prediction (NWP) models solve complex fluid dynamics equations at high computational expense, machine learning offers an efficient, data-driven alternative by learning predictive atmospheric precursors (such as sudden pressure drops, humidity spikes, and accumulated multi-day surface wetness). The primary objective of this case study is to build a rigorous, leak-free supervised classification workflow that accurately predicts next-day rainfall for any selected Maharashtra city and deploys it as a user-friendly application.</w:t>
      </w:r>
    </w:p>
    <w:p>
      <w:pPr>
        <w:keepNext/>
        <w:spacing w:before="280" w:after="80"/>
      </w:pPr>
      <w:r>
        <w:rPr>
          <w:rFonts w:ascii="Calibri" w:hAnsi="Calibri"/>
          <w:b/>
          <w:color w:val="1565C0"/>
          <w:sz w:val="28"/>
        </w:rPr>
        <w:t>3. Problem Definition</w:t>
      </w:r>
    </w:p>
    <w:p>
      <w:r>
        <w:t>The machine learning task is formulated as a Supervised Binary Classification problem:</w:t>
        <w:br/>
        <w:t>• Input (X): Historical and current daily atmospheric observations (temperature, humidity, surface pressure, wind speed, precipitation hours, sunshine duration, weather codes, coordinates, cyclical date projections, and lag/rolling statistics).</w:t>
        <w:br/>
        <w:t>• Output (y): Target variable rain_tomorrow ∈ {0, 1}, where:</w:t>
        <w:br/>
        <w:t xml:space="preserve">    - 1 (Rain): Measurable rainfall occurs on the next calendar day (rain_sum &gt; 0.0 mm).</w:t>
        <w:br/>
        <w:t xml:space="preserve">    - 0 (No Rain): Zero precipitation occurs on the next calendar day (rain_sum == 0.0 mm).</w:t>
      </w:r>
    </w:p>
    <w:p>
      <w:pPr>
        <w:keepNext/>
        <w:spacing w:before="280" w:after="80"/>
      </w:pPr>
      <w:r>
        <w:rPr>
          <w:rFonts w:ascii="Calibri" w:hAnsi="Calibri"/>
          <w:b/>
          <w:color w:val="1565C0"/>
          <w:sz w:val="28"/>
        </w:rPr>
        <w:t>4. Dataset &amp; Data Source</w:t>
      </w:r>
    </w:p>
    <w:p>
      <w:r>
        <w:t>The dataset was collected from the Open-Meteo Historical Weather API using the ECMWF ERA5 reanalysis model. ERA5 provides high-resolution (0.25° grid), globally consistent historical climate data spanning 25 complete years (2000-01-01 to 2024-12-31) across 8 geographically and climatically diverse cities in Maharashtra.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2257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Region</w:t>
            </w:r>
          </w:p>
        </w:tc>
        <w:tc>
          <w:tcPr>
            <w:tcW w:type="dxa" w:w="2257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Latitude / Longitude</w:t>
            </w:r>
          </w:p>
        </w:tc>
        <w:tc>
          <w:tcPr>
            <w:tcW w:type="dxa" w:w="2257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Rainy Days % (2000–2024)</w:t>
            </w:r>
          </w:p>
        </w:tc>
      </w:tr>
      <w:tr>
        <w:tc>
          <w:tcPr>
            <w:tcW w:type="dxa" w:w="2257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Mumbai</w:t>
            </w:r>
          </w:p>
        </w:tc>
        <w:tc>
          <w:tcPr>
            <w:tcW w:type="dxa" w:w="2257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Konkan (Coastal)</w:t>
            </w:r>
          </w:p>
        </w:tc>
        <w:tc>
          <w:tcPr>
            <w:tcW w:type="dxa" w:w="2257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19.07°N, 72.88°E</w:t>
            </w:r>
          </w:p>
        </w:tc>
        <w:tc>
          <w:tcPr>
            <w:tcW w:type="dxa" w:w="2257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43.4%</w:t>
            </w:r>
          </w:p>
        </w:tc>
      </w:tr>
      <w:tr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Ratnagiri</w:t>
            </w:r>
          </w:p>
        </w:tc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Konkan (Coastal)</w:t>
            </w:r>
          </w:p>
        </w:tc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16.99°N, 73.31°E</w:t>
            </w:r>
          </w:p>
        </w:tc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46.8%</w:t>
            </w:r>
          </w:p>
        </w:tc>
      </w:tr>
      <w:tr>
        <w:tc>
          <w:tcPr>
            <w:tcW w:type="dxa" w:w="2257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Pune</w:t>
            </w:r>
          </w:p>
        </w:tc>
        <w:tc>
          <w:tcPr>
            <w:tcW w:type="dxa" w:w="2257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Madhya Maharashtra</w:t>
            </w:r>
          </w:p>
        </w:tc>
        <w:tc>
          <w:tcPr>
            <w:tcW w:type="dxa" w:w="2257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18.52°N, 73.86°E</w:t>
            </w:r>
          </w:p>
        </w:tc>
        <w:tc>
          <w:tcPr>
            <w:tcW w:type="dxa" w:w="2257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44.9%</w:t>
            </w:r>
          </w:p>
        </w:tc>
      </w:tr>
      <w:tr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Nashik</w:t>
            </w:r>
          </w:p>
        </w:tc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Madhya Maharashtra</w:t>
            </w:r>
          </w:p>
        </w:tc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20.00°N, 73.79°E</w:t>
            </w:r>
          </w:p>
        </w:tc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42.3%</w:t>
            </w:r>
          </w:p>
        </w:tc>
      </w:tr>
      <w:tr>
        <w:tc>
          <w:tcPr>
            <w:tcW w:type="dxa" w:w="2257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Kolhapur</w:t>
            </w:r>
          </w:p>
        </w:tc>
        <w:tc>
          <w:tcPr>
            <w:tcW w:type="dxa" w:w="2257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Madhya Maharashtra</w:t>
            </w:r>
          </w:p>
        </w:tc>
        <w:tc>
          <w:tcPr>
            <w:tcW w:type="dxa" w:w="2257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16.70°N, 74.23°E</w:t>
            </w:r>
          </w:p>
        </w:tc>
        <w:tc>
          <w:tcPr>
            <w:tcW w:type="dxa" w:w="2257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45.1%</w:t>
            </w:r>
          </w:p>
        </w:tc>
      </w:tr>
      <w:tr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Solapur</w:t>
            </w:r>
          </w:p>
        </w:tc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Madhya Maharashtra</w:t>
            </w:r>
          </w:p>
        </w:tc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17.67°N, 75.91°E</w:t>
            </w:r>
          </w:p>
        </w:tc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35.8%</w:t>
            </w:r>
          </w:p>
        </w:tc>
      </w:tr>
      <w:tr>
        <w:tc>
          <w:tcPr>
            <w:tcW w:type="dxa" w:w="2257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Chhatrapati Sambhajinagar</w:t>
            </w:r>
          </w:p>
        </w:tc>
        <w:tc>
          <w:tcPr>
            <w:tcW w:type="dxa" w:w="2257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Marathwada</w:t>
            </w:r>
          </w:p>
        </w:tc>
        <w:tc>
          <w:tcPr>
            <w:tcW w:type="dxa" w:w="2257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19.88°N, 75.34°E</w:t>
            </w:r>
          </w:p>
        </w:tc>
        <w:tc>
          <w:tcPr>
            <w:tcW w:type="dxa" w:w="2257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37.5%</w:t>
            </w:r>
          </w:p>
        </w:tc>
      </w:tr>
      <w:tr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Nagpur</w:t>
            </w:r>
          </w:p>
        </w:tc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Vidarbha</w:t>
            </w:r>
          </w:p>
        </w:tc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21.15°N, 79.08°E</w:t>
            </w:r>
          </w:p>
        </w:tc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41.9%</w:t>
            </w:r>
          </w:p>
        </w:tc>
      </w:tr>
    </w:tbl>
    <w:p>
      <w:r>
        <w:t>Data Continuity &amp; Target Integrity: A strict calendar verification rule was enforced: target rain_tomorrow is formed only when next_date == current_date + 1 day. In Chhatrapati Sambhajinagar, the historical record had a 1-year gap during 2002 (from 2001-12-31 to 2003-01-01). The target on 2001-12-31 was explicitly assigned NaN to prevent predicting across a 366-day gap. Similarly, 2024-12-31 targets were assigned NaN across all locations. The overall raw dataset contains 72,691 rows with zero duplicate records.</w:t>
      </w:r>
    </w:p>
    <w:p>
      <w:pPr>
        <w:keepNext/>
        <w:spacing w:before="280" w:after="80"/>
      </w:pPr>
      <w:r>
        <w:rPr>
          <w:rFonts w:ascii="Calibri" w:hAnsi="Calibri"/>
          <w:b/>
          <w:color w:val="1565C0"/>
          <w:sz w:val="28"/>
        </w:rPr>
        <w:t>5. Data Preprocessing &amp; Feature Engineering</w:t>
      </w:r>
    </w:p>
    <w:p>
      <w:r>
        <w:t>To ensure zero data leakage and optimal algorithmic learning, the raw observations were transformed into a supervised ML feature matrix through a calendar-strict preprocessing pipeline:</w:t>
      </w:r>
    </w:p>
    <w:p>
      <w:r>
        <w:t>1. Chronological Splitting: Data was partitioned by time to mirror real-world deployment:</w:t>
        <w:br/>
        <w:t xml:space="preserve">   • Training Partition: 2000–2022 (66,779 observations, ~92%)</w:t>
        <w:br/>
        <w:t xml:space="preserve">   • Validation Partition: 2023 (2,920 observations, ~4%)</w:t>
        <w:br/>
        <w:t xml:space="preserve">   • Final Unseen Test Partition: 2024 (2,920 observations, ~4%)</w:t>
        <w:br/>
        <w:t>2. Cyclical Temporal Projections: Month and Day-of-Year integers were transformed into continuous sine and cosine projections (month_sin, month_cos, day_of_year_sin, day_of_year_cos) to eliminate artificial numerical boundaries between December and January.</w:t>
        <w:br/>
        <w:t>3. Calendar-Strict Lags: 8 lag features (t-1, t-3, t-7 for rain; t-1 for max/min temperature, mean humidity, pressure, and wind speed) were computed by reindexing to a complete daily calendar grid, guaranteeing that missing dates never bridged across gaps.</w:t>
        <w:br/>
        <w:t>4. Backward Trailing Rolling Windows: 6 rolling aggregations (3-day total rain, 7-day total rain, 3-day mean temp max/min, humidity, pressure) were computed strictly over trailing history (shifted by 1 day) so current-day values never leaked into historical windows.</w:t>
        <w:br/>
        <w:t>5. Preprocessing Pipeline: A scikit-learn ColumnTransformer applied StandardScaler to all 32 numerical features and OneHotEncoder(drop='first', handle_unknown='ignore') to the 3 categorical features (location, weather_code, season), producing 51 transformed inputs.</w:t>
      </w:r>
    </w:p>
    <w:p>
      <w:pPr>
        <w:keepNext/>
        <w:spacing w:before="280" w:after="80"/>
      </w:pPr>
      <w:r>
        <w:rPr>
          <w:rFonts w:ascii="Calibri" w:hAnsi="Calibri"/>
          <w:b/>
          <w:color w:val="1565C0"/>
          <w:sz w:val="28"/>
        </w:rPr>
        <w:t>6. Exploratory Data Analysis (EDA)</w:t>
      </w:r>
    </w:p>
    <w:p>
      <w:r>
        <w:t>Exploratory data analysis was conducted across all 72,691 records to discover physical weather drivers and patterns:</w:t>
      </w:r>
    </w:p>
    <w:p>
      <w:pPr>
        <w:spacing w:before="160" w:after="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821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01_target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21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9"/>
        </w:rPr>
        <w:t>Figure 1: Target variable class distribution (42.22% Rainy vs 57.78% Dry days across Maharashtra).</w:t>
      </w:r>
    </w:p>
    <w:p>
      <w:r>
        <w:t>Observation: The target variable displays a moderate balance (42.22% positive rain instances), confirming that the dataset is naturally well-conditioned for binary classification without requiring artificial resampling techniques.</w:t>
      </w:r>
    </w:p>
    <w:p>
      <w:pPr>
        <w:spacing w:before="160" w:after="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96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05_monthly_seasonal_patter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9"/>
        </w:rPr>
        <w:t>Figure 2: Monthly rainfall distribution and seasonal progression in Maharashtra.</w:t>
      </w:r>
    </w:p>
    <w:p>
      <w:r>
        <w:t>Observation: Rainfall is overwhelmingly concentrated during the Southwest Monsoon (June–September), peaking in July (96.8% rain occurrence) and August (96.3%), while winter months (December–February) experience &lt;5% rain occurrence.</w:t>
      </w:r>
    </w:p>
    <w:p>
      <w:pPr>
        <w:spacing w:before="160" w:after="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645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07_humidity_vs_rainf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9"/>
        </w:rPr>
        <w:t>Figure 3: Relative humidity distributions and atmospheric moisture precursors for rainy vs dry days.</w:t>
      </w:r>
    </w:p>
    <w:p>
      <w:r>
        <w:t>Observation: Mean relative humidity averages 80.2% on days preceding rain versus 56.3% on dry days (+23.9% delta), confirming that atmospheric boundary layer moisture is the single strongest physical indicator of upcoming rain.</w:t>
      </w:r>
    </w:p>
    <w:p>
      <w:pPr>
        <w:spacing w:before="160" w:after="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96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03_rainfall_by_loc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9"/>
        </w:rPr>
        <w:t>Figure 4: Daily rainfall distributions and regional gradients across the 8 Maharashtra locations.</w:t>
      </w:r>
    </w:p>
    <w:p>
      <w:r>
        <w:t>Observation: Coastal Konkan stations (Ratnagiri and Mumbai) experience significantly higher daily rainfall volume and rain probability than inland rain-shadow plateau stations (Solapur and Chhatrapati Sambhajinagar).</w:t>
      </w:r>
    </w:p>
    <w:p>
      <w:pPr>
        <w:keepNext/>
        <w:spacing w:before="280" w:after="80"/>
      </w:pPr>
      <w:r>
        <w:rPr>
          <w:rFonts w:ascii="Calibri" w:hAnsi="Calibri"/>
          <w:b/>
          <w:color w:val="1565C0"/>
          <w:sz w:val="28"/>
        </w:rPr>
        <w:t>7. Model Development</w:t>
      </w:r>
    </w:p>
    <w:p>
      <w:r>
        <w:t>Three distinct supervised classification algorithms were selected to provide a diverse spectrum of learning inductive biases:</w:t>
        <w:br/>
        <w:t>1. Logistic Regression (Baseline Linear Model): Serves as an interpretable linear benchmark. Optimized with L2 regularization and liblinear solver to model log-odds of rain occurrence.</w:t>
        <w:br/>
        <w:t>2. Random Forest (Bagging Ensemble): Builds an ensemble of de-correlated decision trees (max_depth=20, min_samples_leaf=8, n_estimators=100) using bootstrap aggregation to capture non-linear feature interactions and resist overfitting.</w:t>
        <w:br/>
        <w:t>3. Gradient Boosting (Sequential Boosting Ensemble): Sequentially trains shallow decision trees (n_estimators=100, max_depth=4, learning_rate=0.1, subsample=0.8) to minimize log-loss, effectively focusing on hard-to-classify atmospheric transition days.</w:t>
      </w:r>
    </w:p>
    <w:p>
      <w:pPr>
        <w:keepNext/>
        <w:spacing w:before="280" w:after="80"/>
      </w:pPr>
      <w:r>
        <w:rPr>
          <w:rFonts w:ascii="Calibri" w:hAnsi="Calibri"/>
          <w:b/>
          <w:color w:val="1565C0"/>
          <w:sz w:val="28"/>
        </w:rPr>
        <w:t>8. Model Evaluation &amp; Results</w:t>
      </w:r>
    </w:p>
    <w:p>
      <w:r>
        <w:t>All models were evaluated across both the 2023 Validation set (2,920 records) and the 2024 Final Test set (2,920 records). Evaluation metrics include Accuracy, Precision, Recall, F1-Score, and ROC-AUC: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  <w:shd w:fill="1565C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290"/>
            <w:shd w:fill="1565C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290"/>
            <w:shd w:fill="1565C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Split</w:t>
            </w:r>
          </w:p>
        </w:tc>
        <w:tc>
          <w:tcPr>
            <w:tcW w:type="dxa" w:w="1290"/>
            <w:shd w:fill="1565C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290"/>
            <w:shd w:fill="1565C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290"/>
            <w:shd w:fill="1565C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290"/>
            <w:shd w:fill="1565C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ROC-AUC</w:t>
            </w:r>
          </w:p>
        </w:tc>
      </w:tr>
      <w:tr>
        <w:tc>
          <w:tcPr>
            <w:tcW w:type="dxa" w:w="1290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Logistic Regression</w:t>
            </w:r>
          </w:p>
        </w:tc>
        <w:tc>
          <w:tcPr>
            <w:tcW w:type="dxa" w:w="1290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Tuned</w:t>
            </w:r>
          </w:p>
        </w:tc>
        <w:tc>
          <w:tcPr>
            <w:tcW w:type="dxa" w:w="1290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Val (2023)</w:t>
            </w:r>
          </w:p>
        </w:tc>
        <w:tc>
          <w:tcPr>
            <w:tcW w:type="dxa" w:w="1290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0.8736</w:t>
            </w:r>
          </w:p>
        </w:tc>
        <w:tc>
          <w:tcPr>
            <w:tcW w:type="dxa" w:w="1290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0.9067</w:t>
            </w:r>
          </w:p>
        </w:tc>
        <w:tc>
          <w:tcPr>
            <w:tcW w:type="dxa" w:w="1290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0.8008</w:t>
            </w:r>
          </w:p>
        </w:tc>
        <w:tc>
          <w:tcPr>
            <w:tcW w:type="dxa" w:w="1290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0.9448</w:t>
            </w:r>
          </w:p>
        </w:tc>
      </w:tr>
      <w:tr>
        <w:tc>
          <w:tcPr>
            <w:tcW w:type="dxa" w:w="129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Logistic Regression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Tuned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Test (2024)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0.9045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0.9391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0.8652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0.9680</w:t>
            </w:r>
          </w:p>
        </w:tc>
      </w:tr>
      <w:tr>
        <w:tc>
          <w:tcPr>
            <w:tcW w:type="dxa" w:w="1290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Random Forest</w:t>
            </w:r>
          </w:p>
        </w:tc>
        <w:tc>
          <w:tcPr>
            <w:tcW w:type="dxa" w:w="1290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Tuned</w:t>
            </w:r>
          </w:p>
        </w:tc>
        <w:tc>
          <w:tcPr>
            <w:tcW w:type="dxa" w:w="1290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Val (2023)</w:t>
            </w:r>
          </w:p>
        </w:tc>
        <w:tc>
          <w:tcPr>
            <w:tcW w:type="dxa" w:w="1290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0.8702</w:t>
            </w:r>
          </w:p>
        </w:tc>
        <w:tc>
          <w:tcPr>
            <w:tcW w:type="dxa" w:w="1290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0.9087</w:t>
            </w:r>
          </w:p>
        </w:tc>
        <w:tc>
          <w:tcPr>
            <w:tcW w:type="dxa" w:w="1290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0.7901</w:t>
            </w:r>
          </w:p>
        </w:tc>
        <w:tc>
          <w:tcPr>
            <w:tcW w:type="dxa" w:w="1290"/>
            <w:shd w:fill="F9FBF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0.9468</w:t>
            </w:r>
          </w:p>
        </w:tc>
      </w:tr>
      <w:tr>
        <w:tc>
          <w:tcPr>
            <w:tcW w:type="dxa" w:w="129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Random Forest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Tuned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Test (2024)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0.9055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0.9533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0.8528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0.9722</w:t>
            </w:r>
          </w:p>
        </w:tc>
      </w:tr>
      <w:tr>
        <w:tc>
          <w:tcPr>
            <w:tcW w:type="dxa" w:w="1290"/>
            <w:shd w:fill="E8F5E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Gradient Boosting</w:t>
            </w:r>
          </w:p>
        </w:tc>
        <w:tc>
          <w:tcPr>
            <w:tcW w:type="dxa" w:w="1290"/>
            <w:shd w:fill="E8F5E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Tuned</w:t>
            </w:r>
          </w:p>
        </w:tc>
        <w:tc>
          <w:tcPr>
            <w:tcW w:type="dxa" w:w="1290"/>
            <w:shd w:fill="E8F5E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Val (2023)</w:t>
            </w:r>
          </w:p>
        </w:tc>
        <w:tc>
          <w:tcPr>
            <w:tcW w:type="dxa" w:w="1290"/>
            <w:shd w:fill="E8F5E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0.8740</w:t>
            </w:r>
          </w:p>
        </w:tc>
        <w:tc>
          <w:tcPr>
            <w:tcW w:type="dxa" w:w="1290"/>
            <w:shd w:fill="E8F5E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0.9124</w:t>
            </w:r>
          </w:p>
        </w:tc>
        <w:tc>
          <w:tcPr>
            <w:tcW w:type="dxa" w:w="1290"/>
            <w:shd w:fill="E8F5E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0.7954</w:t>
            </w:r>
          </w:p>
        </w:tc>
        <w:tc>
          <w:tcPr>
            <w:tcW w:type="dxa" w:w="1290"/>
            <w:shd w:fill="E8F5E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0.9499</w:t>
            </w:r>
          </w:p>
        </w:tc>
      </w:tr>
      <w:tr>
        <w:tc>
          <w:tcPr>
            <w:tcW w:type="dxa" w:w="1290"/>
            <w:shd w:fill="E8F5E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Gradient Boosting</w:t>
            </w:r>
          </w:p>
        </w:tc>
        <w:tc>
          <w:tcPr>
            <w:tcW w:type="dxa" w:w="1290"/>
            <w:shd w:fill="E8F5E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Tuned</w:t>
            </w:r>
          </w:p>
        </w:tc>
        <w:tc>
          <w:tcPr>
            <w:tcW w:type="dxa" w:w="1290"/>
            <w:shd w:fill="E8F5E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Test (2024)</w:t>
            </w:r>
          </w:p>
        </w:tc>
        <w:tc>
          <w:tcPr>
            <w:tcW w:type="dxa" w:w="1290"/>
            <w:shd w:fill="E8F5E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0.9062</w:t>
            </w:r>
          </w:p>
        </w:tc>
        <w:tc>
          <w:tcPr>
            <w:tcW w:type="dxa" w:w="1290"/>
            <w:shd w:fill="E8F5E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0.9506</w:t>
            </w:r>
          </w:p>
        </w:tc>
        <w:tc>
          <w:tcPr>
            <w:tcW w:type="dxa" w:w="1290"/>
            <w:shd w:fill="E8F5E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0.8569</w:t>
            </w:r>
          </w:p>
        </w:tc>
        <w:tc>
          <w:tcPr>
            <w:tcW w:type="dxa" w:w="1290"/>
            <w:shd w:fill="E8F5E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0.9714</w:t>
            </w:r>
          </w:p>
        </w:tc>
      </w:tr>
    </w:tbl>
    <w:p>
      <w:pPr>
        <w:spacing w:before="160" w:after="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775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6_baseline_confusion_matri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7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9"/>
        </w:rPr>
        <w:t>Figure 5: Confusion matrices for all models on 2023 Validation and 2024 Test sets.</w:t>
      </w:r>
    </w:p>
    <w:p>
      <w:pPr>
        <w:spacing w:before="160" w:after="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043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6_baseline_roc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4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9"/>
        </w:rPr>
        <w:t>Figure 6: ROC Curves comparing discrimination performance across models on Validation and Test sets.</w:t>
      </w:r>
    </w:p>
    <w:p>
      <w:r>
        <w:t>Observation: All three models demonstrate strong discriminative power (ROC-AUC &gt; 0.94 on Validation, &gt; 0.96 on Test). Test performance in 2024 was higher than 2023 across all algorithms due to stronger, more continuous monsoon signatures during 2024.</w:t>
      </w:r>
    </w:p>
    <w:p>
      <w:pPr>
        <w:keepNext/>
        <w:spacing w:before="280" w:after="80"/>
      </w:pPr>
      <w:r>
        <w:rPr>
          <w:rFonts w:ascii="Calibri" w:hAnsi="Calibri"/>
          <w:b/>
          <w:color w:val="1565C0"/>
          <w:sz w:val="28"/>
        </w:rPr>
        <w:t>9. Error Analysis</w:t>
      </w:r>
    </w:p>
    <w:p>
      <w:r>
        <w:t>Detailed error analysis on the 2023 Validation partition (N = 2,920) for the top-performing Gradient Boosting model revealed:</w:t>
        <w:br/>
        <w:t>• Confusion Breakdown: True Positives = 1,042 (35.7%), True Negatives = 1,510 (51.7%), False Positives = 100 (3.4%), False Negatives = 268 (9.2%).</w:t>
        <w:br/>
        <w:t>• Seasonal Asymmetry: 61.6% of all missed rain days (165 out of 268 FNs) occurred during the Summer / Pre-Monsoon season (April–June), where the FN rate rose to 22.4%. These errors stem from rapid, localized convective thunderstorms that develop without multi-day synoptic moisture buildup.</w:t>
        <w:br/>
        <w:t>• Monsoon Accuracy: During the active Southwest Monsoon (July–September), the model was highly accurate with an FN rate of only 2.4% and FP rate of 3.9%.</w:t>
      </w:r>
    </w:p>
    <w:p>
      <w:pPr>
        <w:spacing w:before="160" w:after="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91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6_feature_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9"/>
        </w:rPr>
        <w:t>Figure 7: Top 20 feature importances for Gradient Boosting and Random Forest, and standardized coefficients for Logistic Regression.</w:t>
      </w:r>
    </w:p>
    <w:p>
      <w:r>
        <w:t>Observation: Across tree ensembles and logistic regression, rain_sum_lag_1 (yesterday's rain), rain_sum_3d_total (accumulated wetness), weather_code (WMO state), and relative_humidity_2m_mean are the most influential predictive features.</w:t>
      </w:r>
    </w:p>
    <w:p>
      <w:pPr>
        <w:keepNext/>
        <w:spacing w:before="280" w:after="80"/>
      </w:pPr>
      <w:r>
        <w:rPr>
          <w:rFonts w:ascii="Calibri" w:hAnsi="Calibri"/>
          <w:b/>
          <w:color w:val="1565C0"/>
          <w:sz w:val="28"/>
        </w:rPr>
        <w:t>10. Final Model Selection</w:t>
      </w:r>
    </w:p>
    <w:p>
      <w:r>
        <w:t>Based on empirical evidence from Phase 6, Gradient Boosting was selected as the final production model (models/best_model_phase6.joblib):</w:t>
        <w:br/>
        <w:t>1. Top Validation Discrimination: Highest Validation ROC-AUC (0.9499) and Average Precision (0.9388).</w:t>
        <w:br/>
        <w:t>2. Generalization Stability: Smallest performance delta between Validation and Test (ΔAUC = 0.0215 vs 0.0254 for RF).</w:t>
        <w:br/>
        <w:t>3. Probability Forecast Quality: Best probability calibration with the lowest Brier score (Val: 0.0897, Test: 0.0665).</w:t>
        <w:br/>
        <w:t>4. Balanced Test Accuracy: Top Test F1-Score of 0.9014 and Test Accuracy of 90.62%.</w:t>
      </w:r>
    </w:p>
    <w:p>
      <w:pPr>
        <w:keepNext/>
        <w:spacing w:before="280" w:after="80"/>
      </w:pPr>
      <w:r>
        <w:rPr>
          <w:rFonts w:ascii="Calibri" w:hAnsi="Calibri"/>
          <w:b/>
          <w:color w:val="1565C0"/>
          <w:sz w:val="28"/>
        </w:rPr>
        <w:t>11. Streamlit Web Application</w:t>
      </w:r>
    </w:p>
    <w:p>
      <w:r>
        <w:t>A lightweight web interface was developed in app/app.py using Streamlit. The application implements an automated workflow:</w:t>
        <w:br/>
        <w:t>• Location Selection: The user selects one of the 8 Maharashtra locations from a dropdown menu.</w:t>
        <w:br/>
        <w:t>• Automated Live Data Retrieval: The app queries the Open-Meteo Forecast API with past_days=8 and timezone=Asia/Kolkata.</w:t>
        <w:br/>
        <w:t>• Real-Time Feature Pipeline: Transforms raw API payloads into the exact 35-feature schema required by the model.</w:t>
        <w:br/>
        <w:t>• Instant Inference: The Gradient Boosting pipeline predicts next-day rain (YES / NO) alongside the predicted probability percentage and atmospheric context metrics.</w:t>
      </w:r>
    </w:p>
    <w:p>
      <w:pPr>
        <w:spacing w:before="160" w:after="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amlit_app_screen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9"/>
        </w:rPr>
        <w:t>Figure 8: WeatherCast Streamlit web application running live inference.</w:t>
      </w:r>
    </w:p>
    <w:p>
      <w:pPr>
        <w:keepNext/>
        <w:spacing w:before="280" w:after="80"/>
      </w:pPr>
      <w:r>
        <w:rPr>
          <w:rFonts w:ascii="Calibri" w:hAnsi="Calibri"/>
          <w:b/>
          <w:color w:val="1565C0"/>
          <w:sz w:val="28"/>
        </w:rPr>
        <w:t>12. Results &amp; Discussion</w:t>
      </w:r>
    </w:p>
    <w:p>
      <w:r>
        <w:t>The project successfully demonstrates that machine learning pipelines can achieve high operational accuracy (&gt;90% accuracy, &gt;0.97 ROC-AUC) on next-day rain classification using publicly available ERA5 reanalysis data. Key takeaways include:</w:t>
        <w:br/>
        <w:t>• Historical Context Matters: Incorporating multi-day lag and rolling features improved predictive stability compared to relying solely on single-day measurements.</w:t>
        <w:br/>
        <w:t>• Transition Challenges: Convective pre-monsoon showers represent the main source of false negatives, highlighting the inherent physical limits of 24-hour daily aggregate forecasting.</w:t>
        <w:br/>
        <w:t>• Usability: Eliminating manual parameter inputs in the Streamlit app ensures practical real-world utility.</w:t>
      </w:r>
    </w:p>
    <w:p>
      <w:pPr>
        <w:keepNext/>
        <w:spacing w:before="280" w:after="80"/>
      </w:pPr>
      <w:r>
        <w:rPr>
          <w:rFonts w:ascii="Calibri" w:hAnsi="Calibri"/>
          <w:b/>
          <w:color w:val="1565C0"/>
          <w:sz w:val="28"/>
        </w:rPr>
        <w:t>13. Limitations</w:t>
      </w:r>
    </w:p>
    <w:p>
      <w:r>
        <w:t>1. Geographic Coverage: Evaluated on 8 key Maharashtra urban centers; micro-climates in dense forested or ghat regions may differ.</w:t>
        <w:br/>
        <w:t>2. ERA5 Model Resolution: Reanalysis datasets have ~5–15% inherent precipitation uncertainty compared to ground rain gauges.</w:t>
        <w:br/>
        <w:t>3. Binary Simplification: Predicts rain occurrence (yes/no) rather than quantitative rainfall volume or storm intensity.</w:t>
        <w:br/>
        <w:t>4. Non-Stationarity: Long-term climate shifts or extreme El Niño events may alter historical statistical correlations.</w:t>
      </w:r>
    </w:p>
    <w:p>
      <w:pPr>
        <w:keepNext/>
        <w:spacing w:before="280" w:after="80"/>
      </w:pPr>
      <w:r>
        <w:rPr>
          <w:rFonts w:ascii="Calibri" w:hAnsi="Calibri"/>
          <w:b/>
          <w:color w:val="1565C0"/>
          <w:sz w:val="28"/>
        </w:rPr>
        <w:t>14. Conclusion</w:t>
      </w:r>
    </w:p>
    <w:p>
      <w:r>
        <w:t>WeatherCast successfully delivers a complete, leak-free, and empirically validated machine learning system for next-day rain prediction in Maharashtra. Through rigorous chronological validation, feature engineering, and ensemble modeling, Gradient Boosting emerged as the optimal model, delivering 90.62% test accuracy and 0.9714 test ROC-AUC. The integrated Streamlit application proves the feasibility of seamless real-time weather intelligence without requiring complex user inputs.</w:t>
      </w:r>
    </w:p>
    <w:p>
      <w:pPr>
        <w:keepNext/>
        <w:spacing w:before="280" w:after="80"/>
      </w:pPr>
      <w:r>
        <w:rPr>
          <w:rFonts w:ascii="Calibri" w:hAnsi="Calibri"/>
          <w:b/>
          <w:color w:val="1565C0"/>
          <w:sz w:val="28"/>
        </w:rPr>
        <w:t>15. References</w:t>
      </w:r>
    </w:p>
    <w:p>
      <w:r>
        <w:t>1. Open-Meteo Historical Weather API &amp; Forecast API Documentation: https://open-meteo.com/</w:t>
        <w:br/>
        <w:t>2. Hersbach, H., et al. (2020). The ERA5 global reanalysis. Quarterly Journal of the Royal Meteorological Society, 146(730), 1999-2049.</w:t>
        <w:br/>
        <w:t>3. India Meteorological Department (IMD). Standard Monsoon &amp; Seasonal Definitions. Ministry of Earth Sciences, Govt. of India.</w:t>
        <w:br/>
        <w:t>4. Pedregosa, F., et al. (2011). Scikit-learn: Machine Learning in Python. Journal of Machine Learning Research, 12, 2825-2830.</w:t>
        <w:br/>
        <w:t>5. Streamlit Documentation: https://docs.streamlit.io/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8"/>
      </w:rPr>
      <w:t xml:space="preserve">WeatherCast — ML Case Study 75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