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FIN//HUB — Data Storage, Retention, Privacy &amp; Security Architecture (#31)</w:t>
      </w:r>
      <w:r/>
      <w:r/>
    </w:p>
    <w:p>
      <w:r/>
      <w:r>
        <w:t xml:space="preserve">Status of this document: it describes (a) </w:t>
      </w:r>
      <w:r>
        <w:rPr>
          <w:b/>
        </w:rPr>
        <w:t>what FIN//HUB stores today</w:t>
      </w:r>
      <w:r>
        <w:t xml:space="preserve"> — grounded in the actual Prisma data model and code paths — and (b) the </w:t>
      </w:r>
      <w:r>
        <w:rPr>
          <w:b/>
        </w:rPr>
        <w:t>target policy/roadmap</w:t>
      </w:r>
      <w:r>
        <w:t xml:space="preserve"> where a capability is not yet implemented. Sections clearly mark </w:t>
      </w:r>
      <w:r>
        <w:rPr>
          <w:i/>
        </w:rPr>
        <w:t>Implemented</w:t>
      </w:r>
      <w:r>
        <w:t xml:space="preserve"> vs </w:t>
      </w:r>
      <w:r>
        <w:rPr>
          <w:i/>
        </w:rPr>
        <w:t>Proposed</w:t>
      </w:r>
      <w:r>
        <w:t xml:space="preserve"> so the document stays technically and legally accurate.</w:t>
      </w:r>
      <w:r/>
      <w:r/>
    </w:p>
    <w:p>
      <w:pPr>
        <w:pStyle w:val="Heading2"/>
      </w:pPr>
      <w:r>
        <w:t>0. Strategic positioning</w:t>
      </w:r>
      <w:r/>
    </w:p>
    <w:p>
      <w:r/>
      <w:r>
        <w:t xml:space="preserve">FIN//HUB is a </w:t>
      </w:r>
      <w:r>
        <w:rPr>
          <w:b/>
        </w:rPr>
        <w:t>financial intelligence / normalization / consolidation / reporting-orchestration layer</w:t>
      </w:r>
      <w:r>
        <w:t xml:space="preserve">. It is explicitly </w:t>
      </w:r>
      <w:r>
        <w:rPr>
          <w:b/>
        </w:rPr>
        <w:t>not</w:t>
      </w:r>
      <w:r>
        <w:t xml:space="preserve"> a permanent bookkeeping replacement or an unrestricted accounting data warehouse. The source of truth for transactions remains the connected accounting systems (Yuki, e-Boekhouden, …).</w:t>
      </w:r>
      <w:r/>
    </w:p>
    <w:p>
      <w:r/>
      <w:r>
        <w:rPr>
          <w:b/>
        </w:rPr>
        <w:t>Design consequence (already true in the codebase):</w:t>
      </w:r>
      <w:r>
        <w:t xml:space="preserve"> individual transactions and trial balances are </w:t>
      </w:r>
      <w:r>
        <w:rPr>
          <w:b/>
        </w:rPr>
        <w:t>retrieved on demand</w:t>
      </w:r>
      <w:r>
        <w:t xml:space="preserve"> from the source system per request and are </w:t>
      </w:r>
      <w:r>
        <w:rPr>
          <w:b/>
        </w:rPr>
        <w:t>not written</w:t>
      </w:r>
      <w:r>
        <w:t xml:space="preserve"> to FIN//HUB's database. What FIN//HUB persists is </w:t>
      </w:r>
      <w:r>
        <w:rPr>
          <w:i/>
        </w:rPr>
        <w:t>configuration, mappings, public reference data, and audit/usage metadata</w:t>
      </w:r>
      <w:r>
        <w:t xml:space="preserve"> — not the underlying ledger.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 &amp; 2. Complete data classification</w:t>
      </w:r>
      <w:r/>
    </w:p>
    <w:p>
      <w:r/>
      <w:r>
        <w:t xml:space="preserve">Categories used: </w:t>
      </w:r>
      <w:r>
        <w:rPr>
          <w:b/>
        </w:rPr>
        <w:t>PERSISTENT</w:t>
      </w:r>
      <w:r>
        <w:t xml:space="preserve"> (durable config/reference), </w:t>
      </w:r>
      <w:r>
        <w:rPr>
          <w:b/>
        </w:rPr>
        <w:t>CACHE</w:t>
      </w:r>
      <w:r>
        <w:t xml:space="preserve"> (transient/derivable),</w:t>
      </w:r>
      <w:r>
        <w:rPr>
          <w:b/>
        </w:rPr>
        <w:t>ON-DEMAND</w:t>
      </w:r>
      <w:r>
        <w:t xml:space="preserve"> (never persisted; fetched per request), </w:t>
      </w:r>
      <w:r>
        <w:rPr>
          <w:b/>
        </w:rPr>
        <w:t>AUDIT</w:t>
      </w:r>
      <w:r>
        <w:t xml:space="preserve"> (append-only, immutable),</w:t>
      </w:r>
      <w:r>
        <w:rPr>
          <w:b/>
        </w:rPr>
        <w:t>SECRET</w:t>
      </w:r>
      <w:r>
        <w:t xml:space="preserve"> (encrypted secrets).</w:t>
      </w:r>
      <w:r/>
    </w:p>
    <w:p>
      <w:r/>
      <w:r>
        <w:t xml:space="preserve">Security classes: </w:t>
      </w:r>
      <w:r>
        <w:rPr>
          <w:b/>
        </w:rPr>
        <w:t>Public</w:t>
      </w:r>
      <w:r>
        <w:t xml:space="preserve">, </w:t>
      </w:r>
      <w:r>
        <w:rPr>
          <w:b/>
        </w:rPr>
        <w:t>Internal</w:t>
      </w:r>
      <w:r>
        <w:t xml:space="preserve">, </w:t>
      </w:r>
      <w:r>
        <w:rPr>
          <w:b/>
        </w:rPr>
        <w:t>Confidential</w:t>
      </w:r>
      <w:r>
        <w:t xml:space="preserve">, </w:t>
      </w:r>
      <w:r>
        <w:rPr>
          <w:b/>
        </w:rPr>
        <w:t>Restricted (PII/secret)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 / 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Deletion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GDPR impact</w:t>
            </w:r>
          </w:p>
        </w:tc>
      </w:tr>
      <w:tr>
        <w:tc>
          <w:tcPr>
            <w:tcW w:type="dxa" w:w="1080"/>
          </w:tcPr>
          <w:p>
            <w:r>
              <w:t>Connector credentials (Yuki accessKey, e-Boekhouden token)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Connection.encryptedCredentials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SECRET</w:t>
            </w:r>
            <w:r>
              <w:t xml:space="preserve"> — yes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AES-256-GCM</w:t>
            </w:r>
            <w:r>
              <w:t xml:space="preserve"> at field level</w:t>
            </w:r>
          </w:p>
        </w:tc>
        <w:tc>
          <w:tcPr>
            <w:tcW w:type="dxa" w:w="1080"/>
          </w:tcPr>
          <w:p>
            <w:r>
              <w:t>Life of the connection</w:t>
            </w:r>
          </w:p>
        </w:tc>
        <w:tc>
          <w:tcPr>
            <w:tcW w:type="dxa" w:w="1080"/>
          </w:tcPr>
          <w:p>
            <w:r>
              <w:t>Deleted on connection/entity delete (cascade)</w:t>
            </w:r>
          </w:p>
        </w:tc>
        <w:tc>
          <w:tcPr>
            <w:tcW w:type="dxa" w:w="1080"/>
          </w:tcPr>
          <w:p>
            <w:r>
              <w:t>High — grants access to source books; never returned to the browser</w:t>
            </w:r>
          </w:p>
        </w:tc>
      </w:tr>
      <w:tr>
        <w:tc>
          <w:tcPr>
            <w:tcW w:type="dxa" w:w="1080"/>
          </w:tcPr>
          <w:p>
            <w:r>
              <w:t>2FA TOTP secret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User.twoFactorSecret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SECRET</w:t>
            </w:r>
            <w:r>
              <w:t xml:space="preserve"> — yes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AES-256-GCM</w:t>
            </w:r>
          </w:p>
        </w:tc>
        <w:tc>
          <w:tcPr>
            <w:tcW w:type="dxa" w:w="1080"/>
          </w:tcPr>
          <w:p>
            <w:r>
              <w:t>Until 2FA disabled / user deleted</w:t>
            </w:r>
          </w:p>
        </w:tc>
        <w:tc>
          <w:tcPr>
            <w:tcW w:type="dxa" w:w="1080"/>
          </w:tcPr>
          <w:p>
            <w:r>
              <w:t>On user delete (cascade)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User.passwordHash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bcrypt</w:t>
            </w:r>
            <w:r>
              <w:t xml:space="preserve"> (one-way)</w:t>
            </w:r>
          </w:p>
        </w:tc>
        <w:tc>
          <w:tcPr>
            <w:tcW w:type="dxa" w:w="1080"/>
          </w:tcPr>
          <w:p>
            <w:r>
              <w:t>Life of user</w:t>
            </w:r>
          </w:p>
        </w:tc>
        <w:tc>
          <w:tcPr>
            <w:tcW w:type="dxa" w:w="1080"/>
          </w:tcPr>
          <w:p>
            <w:r>
              <w:t>On user delete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Session / refresh tokens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RefreshToken.tokenHash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hash only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SHA-256 (one-way)</w:t>
            </w:r>
          </w:p>
        </w:tc>
        <w:tc>
          <w:tcPr>
            <w:tcW w:type="dxa" w:w="1080"/>
          </w:tcPr>
          <w:p>
            <w:r>
              <w:t>Until expiry/revoke</w:t>
            </w:r>
          </w:p>
        </w:tc>
        <w:tc>
          <w:tcPr>
            <w:tcW w:type="dxa" w:w="1080"/>
          </w:tcPr>
          <w:p>
            <w:r>
              <w:t>Revoked on logout; expiry cleanup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Invite / password-reset tokens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UserToken.tokenHash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hash only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SHA-256</w:t>
            </w:r>
          </w:p>
        </w:tc>
        <w:tc>
          <w:tcPr>
            <w:tcW w:type="dxa" w:w="1080"/>
          </w:tcPr>
          <w:p>
            <w:r>
              <w:t>Single-use, short TTL</w:t>
            </w:r>
          </w:p>
        </w:tc>
        <w:tc>
          <w:tcPr>
            <w:tcW w:type="dxa" w:w="1080"/>
          </w:tcPr>
          <w:p>
            <w:r>
              <w:t>Consumed/expired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Output API keys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ApiKey.keyHash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hash only</w:t>
            </w:r>
            <w:r>
              <w:t xml:space="preserve"> , raw shown once)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SHA-256</w:t>
            </w:r>
          </w:p>
        </w:tc>
        <w:tc>
          <w:tcPr>
            <w:tcW w:type="dxa" w:w="1080"/>
          </w:tcPr>
          <w:p>
            <w:r>
              <w:t>Until revoked/expired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revokedAt</w:t>
            </w:r>
            <w:r>
              <w:t xml:space="preserve"> set; row kept for audit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OAuth tokens (future external IdP)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rPr>
                <w:i/>
              </w:rPr>
              <w:t>not yet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Would be SECRET (AES)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Users / names / e-mail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User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Restricted (PII)</w:t>
            </w:r>
          </w:p>
        </w:tc>
        <w:tc>
          <w:tcPr>
            <w:tcW w:type="dxa" w:w="1080"/>
          </w:tcPr>
          <w:p>
            <w:r>
              <w:t>DB-level (deployment)</w:t>
            </w:r>
          </w:p>
        </w:tc>
        <w:tc>
          <w:tcPr>
            <w:tcW w:type="dxa" w:w="1080"/>
          </w:tcPr>
          <w:p>
            <w:r>
              <w:t>Life of account</w:t>
            </w:r>
          </w:p>
        </w:tc>
        <w:tc>
          <w:tcPr>
            <w:tcW w:type="dxa" w:w="1080"/>
          </w:tcPr>
          <w:p>
            <w:r>
              <w:t>On user delete</w:t>
            </w:r>
          </w:p>
        </w:tc>
        <w:tc>
          <w:tcPr>
            <w:tcW w:type="dxa" w:w="1080"/>
          </w:tcPr>
          <w:p>
            <w:r>
              <w:t>High (personal data)</w:t>
            </w:r>
          </w:p>
        </w:tc>
      </w:tr>
      <w:tr>
        <w:tc>
          <w:tcPr>
            <w:tcW w:type="dxa" w:w="1080"/>
          </w:tcPr>
          <w:p>
            <w:r>
              <w:t>Profile photo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User.avatarUrl</w:t>
            </w:r>
            <w:r>
              <w:t xml:space="preserve"> (data-URL)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Confidential (PII)</w:t>
            </w:r>
          </w:p>
        </w:tc>
        <w:tc>
          <w:tcPr>
            <w:tcW w:type="dxa" w:w="1080"/>
          </w:tcPr>
          <w:p>
            <w:r>
              <w:t>DB-level</w:t>
            </w:r>
          </w:p>
        </w:tc>
        <w:tc>
          <w:tcPr>
            <w:tcW w:type="dxa" w:w="1080"/>
          </w:tcPr>
          <w:p>
            <w:r>
              <w:t>Until changed/removed</w:t>
            </w:r>
          </w:p>
        </w:tc>
        <w:tc>
          <w:tcPr>
            <w:tcW w:type="dxa" w:w="1080"/>
          </w:tcPr>
          <w:p>
            <w:r>
              <w:t>DELETE endpoint nulls it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Roles / memberships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Membership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access</w:t>
            </w:r>
          </w:p>
        </w:tc>
        <w:tc>
          <w:tcPr>
            <w:tcW w:type="dxa" w:w="1080"/>
          </w:tcPr>
          <w:p>
            <w:r>
              <w:t>On scope/user delete (cascade)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Workspace / group / entity tree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Workspace</w:t>
            </w:r>
            <w:r>
              <w:t xml:space="preserve"> / </w:t>
            </w:r>
            <w:r>
              <w:rPr>
                <w:rFonts w:ascii="Courier" w:hAnsi="Courier"/>
              </w:rPr>
              <w:t>Group</w:t>
            </w:r>
            <w:r>
              <w:t xml:space="preserve"> / </w:t>
            </w:r>
            <w:r>
              <w:rPr>
                <w:rFonts w:ascii="Courier" w:hAnsi="Courier"/>
              </w:rPr>
              <w:t>Entity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tenant</w:t>
            </w:r>
          </w:p>
        </w:tc>
        <w:tc>
          <w:tcPr>
            <w:tcW w:type="dxa" w:w="1080"/>
          </w:tcPr>
          <w:p>
            <w:r>
              <w:t>Cascade on delete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Workspace settings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WorkspaceSettings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workspace</w:t>
            </w:r>
          </w:p>
        </w:tc>
        <w:tc>
          <w:tcPr>
            <w:tcW w:type="dxa" w:w="1080"/>
          </w:tcPr>
          <w:p>
            <w:r>
              <w:t>Cascade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VAT mappings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VatMapping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Confidential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workspace</w:t>
            </w:r>
          </w:p>
        </w:tc>
        <w:tc>
          <w:tcPr>
            <w:tcW w:type="dxa" w:w="1080"/>
          </w:tcPr>
          <w:p>
            <w:r>
              <w:t>Cascade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RGS mappings (source→RGS)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SourceAccountMapping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immutable, append-only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Confidential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workspace (history kept)</w:t>
            </w:r>
          </w:p>
        </w:tc>
        <w:tc>
          <w:tcPr>
            <w:tcW w:type="dxa" w:w="1080"/>
          </w:tcPr>
          <w:p>
            <w:r>
              <w:t>Cascade on workspace/entity delete</w:t>
            </w:r>
          </w:p>
        </w:tc>
        <w:tc>
          <w:tcPr>
            <w:tcW w:type="dxa" w:w="1080"/>
          </w:tcPr>
          <w:p>
            <w:r>
              <w:t>Low — account-level, not transactional</w:t>
            </w:r>
          </w:p>
        </w:tc>
      </w:tr>
      <w:tr>
        <w:tc>
          <w:tcPr>
            <w:tcW w:type="dxa" w:w="1080"/>
          </w:tcPr>
          <w:p>
            <w:r>
              <w:t>FIN semantic categories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FinSemanticCategory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</w:t>
            </w:r>
          </w:p>
        </w:tc>
        <w:tc>
          <w:tcPr>
            <w:tcW w:type="dxa" w:w="1080"/>
          </w:tcPr>
          <w:p>
            <w:r>
              <w:t>Cascade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Discovered GL accounts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SourceAccount</w:t>
            </w:r>
            <w:r>
              <w:t xml:space="preserve"> (code, name, type)</w:t>
            </w:r>
          </w:p>
        </w:tc>
        <w:tc>
          <w:tcPr>
            <w:tcW w:type="dxa" w:w="1080"/>
          </w:tcPr>
          <w:p>
            <w:r>
              <w:t xml:space="preserve">yes (metadata, </w:t>
            </w:r>
            <w:r>
              <w:rPr>
                <w:b/>
              </w:rPr>
              <w:t>not</w:t>
            </w:r>
            <w:r>
              <w:t xml:space="preserve"> balances/txns)</w:t>
            </w:r>
          </w:p>
        </w:tc>
        <w:tc>
          <w:tcPr>
            <w:tcW w:type="dxa" w:w="1080"/>
          </w:tcPr>
          <w:p>
            <w:r>
              <w:t>Confidential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Refreshed on sync</w:t>
            </w:r>
          </w:p>
        </w:tc>
        <w:tc>
          <w:tcPr>
            <w:tcW w:type="dxa" w:w="1080"/>
          </w:tcPr>
          <w:p>
            <w:r>
              <w:t>Cascade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RGS taxonomy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RgsAccount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public standard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Per version</w:t>
            </w:r>
          </w:p>
        </w:tc>
        <w:tc>
          <w:tcPr>
            <w:tcW w:type="dxa" w:w="1080"/>
          </w:tcPr>
          <w:p>
            <w:r>
              <w:t>Manual refresh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FX rates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FxRate</w:t>
            </w:r>
            <w:r>
              <w:t xml:space="preserve"> (ECB daily)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public</w:t>
            </w:r>
            <w:r>
              <w:t xml:space="preserve"> , cache)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Indefinite cache (re-derivable)</w:t>
            </w:r>
          </w:p>
        </w:tc>
        <w:tc>
          <w:tcPr>
            <w:tcW w:type="dxa" w:w="1080"/>
          </w:tcPr>
          <w:p>
            <w:r>
              <w:t>Safe to purge anytime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Transactions</w:t>
            </w:r>
          </w:p>
        </w:tc>
        <w:tc>
          <w:tcPr>
            <w:tcW w:type="dxa" w:w="1080"/>
          </w:tcPr>
          <w:p>
            <w:r>
              <w:t xml:space="preserve">connector </w:t>
            </w:r>
            <w:r>
              <w:rPr>
                <w:rFonts w:ascii="Courier" w:hAnsi="Courier"/>
              </w:rPr>
              <w:t>getTransactions()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ON-DEMAND — NOT stored</w:t>
            </w:r>
          </w:p>
        </w:tc>
        <w:tc>
          <w:tcPr>
            <w:tcW w:type="dxa" w:w="1080"/>
          </w:tcPr>
          <w:p>
            <w:r>
              <w:t>Restricted (in transit)</w:t>
            </w:r>
          </w:p>
        </w:tc>
        <w:tc>
          <w:tcPr>
            <w:tcW w:type="dxa" w:w="1080"/>
          </w:tcPr>
          <w:p>
            <w:r>
              <w:t>TLS only</w:t>
            </w:r>
          </w:p>
        </w:tc>
        <w:tc>
          <w:tcPr>
            <w:tcW w:type="dxa" w:w="1080"/>
          </w:tcPr>
          <w:p>
            <w:r>
              <w:t>0 (request-scoped memory)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Minimized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Trial balances</w:t>
            </w:r>
          </w:p>
        </w:tc>
        <w:tc>
          <w:tcPr>
            <w:tcW w:type="dxa" w:w="1080"/>
          </w:tcPr>
          <w:p>
            <w:r>
              <w:t xml:space="preserve">connector </w:t>
            </w:r>
            <w:r>
              <w:rPr>
                <w:rFonts w:ascii="Courier" w:hAnsi="Courier"/>
              </w:rPr>
              <w:t>getTrialBalance()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ON-DEMAND — NOT stored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TLS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Receivables / payables</w:t>
            </w:r>
          </w:p>
        </w:tc>
        <w:tc>
          <w:tcPr>
            <w:tcW w:type="dxa" w:w="1080"/>
          </w:tcPr>
          <w:p>
            <w:r>
              <w:t xml:space="preserve">connector </w:t>
            </w:r>
            <w:r>
              <w:rPr>
                <w:rFonts w:ascii="Courier" w:hAnsi="Courier"/>
              </w:rPr>
              <w:t>getOutstanding()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ON-DEMAND — NOT stored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TLS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Relations / contacts</w:t>
            </w:r>
          </w:p>
        </w:tc>
        <w:tc>
          <w:tcPr>
            <w:tcW w:type="dxa" w:w="1080"/>
          </w:tcPr>
          <w:p>
            <w:r>
              <w:t xml:space="preserve">connector </w:t>
            </w:r>
            <w:r>
              <w:rPr>
                <w:rFonts w:ascii="Courier" w:hAnsi="Courier"/>
              </w:rPr>
              <w:t>getDebtors()/getCreditors()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ON-DEMAND — NOT stored</w:t>
            </w:r>
          </w:p>
        </w:tc>
        <w:tc>
          <w:tcPr>
            <w:tcW w:type="dxa" w:w="1080"/>
          </w:tcPr>
          <w:p>
            <w:r>
              <w:t>Restricted (PII)</w:t>
            </w:r>
          </w:p>
        </w:tc>
        <w:tc>
          <w:tcPr>
            <w:tcW w:type="dxa" w:w="1080"/>
          </w:tcPr>
          <w:p>
            <w:r>
              <w:t>TLS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PDF documents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getInvoicePdf()</w:t>
            </w:r>
            <w:r>
              <w:t xml:space="preserve"> → </w:t>
            </w:r>
            <w:r>
              <w:rPr>
                <w:rFonts w:ascii="Courier" w:hAnsi="Courier"/>
              </w:rPr>
              <w:t>res.end(bytes)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STREAMED — NOT stored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TLS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t>Source document URLs</w:t>
            </w:r>
          </w:p>
        </w:tc>
        <w:tc>
          <w:tcPr>
            <w:tcW w:type="dxa" w:w="1080"/>
          </w:tcPr>
          <w:p>
            <w:r>
              <w:t>— (resolved per request)</w:t>
            </w:r>
          </w:p>
        </w:tc>
        <w:tc>
          <w:tcPr>
            <w:tcW w:type="dxa" w:w="1080"/>
          </w:tcPr>
          <w:p>
            <w:r>
              <w:t>not stored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Raw API payloads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stored</w:t>
            </w:r>
            <w:r>
              <w:t xml:space="preserve"> (only SHA-256 hashes)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Minimized</w:t>
            </w:r>
          </w:p>
        </w:tc>
      </w:tr>
      <w:tr>
        <w:tc>
          <w:tcPr>
            <w:tcW w:type="dxa" w:w="1080"/>
          </w:tcPr>
          <w:p>
            <w:r>
              <w:t>API usage ledger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ApiUsageLog</w:t>
            </w:r>
            <w:r>
              <w:t xml:space="preserve"> (metadata + hashes)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no payloads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DB-level</w:t>
            </w:r>
          </w:p>
        </w:tc>
        <w:tc>
          <w:tcPr>
            <w:tcW w:type="dxa" w:w="1080"/>
          </w:tcPr>
          <w:p>
            <w:r>
              <w:t>retention job (proposed)</w:t>
            </w:r>
          </w:p>
        </w:tc>
        <w:tc>
          <w:tcPr>
            <w:tcW w:type="dxa" w:w="1080"/>
          </w:tcPr>
          <w:p>
            <w:r>
              <w:t>Purge by age (proposed)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Audit trail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AuditLog</w:t>
            </w:r>
            <w:r>
              <w:t xml:space="preserve"> (action + metadata)</w:t>
            </w:r>
          </w:p>
        </w:tc>
        <w:tc>
          <w:tcPr>
            <w:tcW w:type="dxa" w:w="1080"/>
          </w:tcPr>
          <w:p>
            <w:r>
              <w:t>yes (append-only)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DB-level</w:t>
            </w:r>
          </w:p>
        </w:tc>
        <w:tc>
          <w:tcPr>
            <w:tcW w:type="dxa" w:w="1080"/>
          </w:tcPr>
          <w:p>
            <w:r>
              <w:t>Long (compliance)</w:t>
            </w:r>
          </w:p>
        </w:tc>
        <w:tc>
          <w:tcPr>
            <w:tcW w:type="dxa" w:w="1080"/>
          </w:tcPr>
          <w:p>
            <w:r>
              <w:t>Per retention policy</w:t>
            </w:r>
          </w:p>
        </w:tc>
        <w:tc>
          <w:tcPr>
            <w:tcW w:type="dxa" w:w="1080"/>
          </w:tcPr>
          <w:p>
            <w:r>
              <w:t>Low — avoid PII in metadata</w:t>
            </w:r>
          </w:p>
        </w:tc>
      </w:tr>
      <w:tr>
        <w:tc>
          <w:tcPr>
            <w:tcW w:type="dxa" w:w="1080"/>
          </w:tcPr>
          <w:p>
            <w:r>
              <w:t>Sync history</w:t>
            </w:r>
          </w:p>
        </w:tc>
        <w:tc>
          <w:tcPr>
            <w:tcW w:type="dxa" w:w="1080"/>
          </w:tcPr>
          <w:p>
            <w:r>
              <w:t xml:space="preserve">derivable from </w:t>
            </w:r>
            <w:r>
              <w:rPr>
                <w:rFonts w:ascii="Courier" w:hAnsi="Courier"/>
              </w:rPr>
              <w:t>ApiUsageLog</w:t>
            </w:r>
            <w:r>
              <w:t xml:space="preserve"> + </w:t>
            </w:r>
            <w:r>
              <w:rPr>
                <w:rFonts w:ascii="Courier" w:hAnsi="Courier"/>
              </w:rPr>
              <w:t>Connection.lastSyncAt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as usage ledger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Notification history</w:t>
            </w:r>
          </w:p>
        </w:tc>
        <w:tc>
          <w:tcPr>
            <w:tcW w:type="dxa" w:w="1080"/>
          </w:tcPr>
          <w:p>
            <w:r>
              <w:rPr>
                <w:i/>
              </w:rPr>
              <w:t>not yet</w:t>
            </w:r>
            <w:r>
              <w:t xml:space="preserve"> (#25)</w:t>
            </w:r>
          </w:p>
        </w:tc>
        <w:tc>
          <w:tcPr>
            <w:tcW w:type="dxa" w:w="1080"/>
          </w:tcPr>
          <w:p>
            <w:r>
              <w:rPr>
                <w:i/>
              </w:rPr>
              <w:t>proposed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configurable</w:t>
            </w:r>
          </w:p>
        </w:tc>
        <w:tc>
          <w:tcPr>
            <w:tcW w:type="dxa" w:w="1080"/>
          </w:tcPr>
          <w:p>
            <w:r>
              <w:t>per policy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Error reports</w:t>
            </w:r>
          </w:p>
        </w:tc>
        <w:tc>
          <w:tcPr>
            <w:tcW w:type="dxa" w:w="1080"/>
          </w:tcPr>
          <w:p>
            <w:r>
              <w:rPr>
                <w:i/>
              </w:rPr>
              <w:t>not yet</w:t>
            </w:r>
            <w:r>
              <w:t xml:space="preserve"> (#28)</w:t>
            </w:r>
          </w:p>
        </w:tc>
        <w:tc>
          <w:tcPr>
            <w:tcW w:type="dxa" w:w="1080"/>
          </w:tcPr>
          <w:p>
            <w:r>
              <w:rPr>
                <w:i/>
              </w:rPr>
              <w:t>proposed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configurable</w:t>
            </w:r>
          </w:p>
        </w:tc>
        <w:tc>
          <w:tcPr>
            <w:tcW w:type="dxa" w:w="1080"/>
          </w:tcPr>
          <w:p>
            <w:r>
              <w:t>per policy</w:t>
            </w:r>
          </w:p>
        </w:tc>
        <w:tc>
          <w:tcPr>
            <w:tcW w:type="dxa" w:w="1080"/>
          </w:tcPr>
          <w:p>
            <w:r>
              <w:t>Medium (must scrub PII)</w:t>
            </w:r>
          </w:p>
        </w:tc>
      </w:tr>
      <w:tr>
        <w:tc>
          <w:tcPr>
            <w:tcW w:type="dxa" w:w="1080"/>
          </w:tcPr>
          <w:p>
            <w:r>
              <w:t>Exports (Excel/CSV)</w:t>
            </w:r>
          </w:p>
        </w:tc>
        <w:tc>
          <w:tcPr>
            <w:tcW w:type="dxa" w:w="1080"/>
          </w:tcPr>
          <w:p>
            <w:r>
              <w:t>generated per request, streamed</w:t>
            </w:r>
          </w:p>
        </w:tc>
        <w:tc>
          <w:tcPr>
            <w:tcW w:type="dxa" w:w="1080"/>
          </w:tcPr>
          <w:p>
            <w:r>
              <w:t>not stored server-side</w:t>
            </w:r>
          </w:p>
        </w:tc>
        <w:tc>
          <w:tcPr>
            <w:tcW w:type="dxa" w:w="1080"/>
          </w:tcPr>
          <w:p>
            <w:r>
              <w:t>Restricted</w:t>
            </w:r>
          </w:p>
        </w:tc>
        <w:tc>
          <w:tcPr>
            <w:tcW w:type="dxa" w:w="1080"/>
          </w:tcPr>
          <w:p>
            <w:r>
              <w:t>TLS</w:t>
            </w:r>
          </w:p>
        </w:tc>
        <w:tc>
          <w:tcPr>
            <w:tcW w:type="dxa" w:w="1080"/>
          </w:tcPr>
          <w:p>
            <w:r>
              <w:t>0 (lives in user's download)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Customer-controlled</w:t>
            </w:r>
          </w:p>
        </w:tc>
      </w:tr>
      <w:tr>
        <w:tc>
          <w:tcPr>
            <w:tcW w:type="dxa" w:w="1080"/>
          </w:tcPr>
          <w:p>
            <w:r>
              <w:t>Consolidation snapshots / elimination entries</w:t>
            </w:r>
          </w:p>
        </w:tc>
        <w:tc>
          <w:tcPr>
            <w:tcW w:type="dxa" w:w="1080"/>
          </w:tcPr>
          <w:p>
            <w:r>
              <w:rPr>
                <w:i/>
              </w:rPr>
              <w:t>not yet</w:t>
            </w:r>
            <w:r>
              <w:t xml:space="preserve"> (RGS-B)</w:t>
            </w:r>
          </w:p>
        </w:tc>
        <w:tc>
          <w:tcPr>
            <w:tcW w:type="dxa" w:w="1080"/>
          </w:tcPr>
          <w:p>
            <w:r>
              <w:rPr>
                <w:i/>
              </w:rPr>
              <w:t>proposed</w:t>
            </w:r>
          </w:p>
        </w:tc>
        <w:tc>
          <w:tcPr>
            <w:tcW w:type="dxa" w:w="1080"/>
          </w:tcPr>
          <w:p>
            <w:r>
              <w:t>Confidential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configurable</w:t>
            </w:r>
          </w:p>
        </w:tc>
        <w:tc>
          <w:tcPr>
            <w:tcW w:type="dxa" w:w="1080"/>
          </w:tcPr>
          <w:p>
            <w:r>
              <w:t>per policy</w:t>
            </w:r>
          </w:p>
        </w:tc>
        <w:tc>
          <w:tcPr>
            <w:tcW w:type="dxa" w:w="1080"/>
          </w:tcPr>
          <w:p>
            <w:r>
              <w:t>Medium — derived figures</w:t>
            </w:r>
          </w:p>
        </w:tc>
      </w:tr>
      <w:tr>
        <w:tc>
          <w:tcPr>
            <w:tcW w:type="dxa" w:w="1080"/>
          </w:tcPr>
          <w:p>
            <w:r>
              <w:t>Billing (Stripe)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Subscription</w:t>
            </w:r>
            <w:r>
              <w:t xml:space="preserve"> (ids, status)</w:t>
            </w:r>
          </w:p>
        </w:tc>
        <w:tc>
          <w:tcPr>
            <w:tcW w:type="dxa" w:w="1080"/>
          </w:tcPr>
          <w:p>
            <w:r>
              <w:t xml:space="preserve">yes ( </w:t>
            </w:r>
            <w:r>
              <w:rPr>
                <w:b/>
              </w:rPr>
              <w:t>no card data</w:t>
            </w:r>
            <w:r>
              <w:t xml:space="preserve"> )</w:t>
            </w:r>
          </w:p>
        </w:tc>
        <w:tc>
          <w:tcPr>
            <w:tcW w:type="dxa" w:w="1080"/>
          </w:tcPr>
          <w:p>
            <w:r>
              <w:t>Confidential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Life of account</w:t>
            </w:r>
          </w:p>
        </w:tc>
        <w:tc>
          <w:tcPr>
            <w:tcW w:type="dxa" w:w="1080"/>
          </w:tcPr>
          <w:p>
            <w:r>
              <w:t>Cascade</w:t>
            </w:r>
          </w:p>
        </w:tc>
        <w:tc>
          <w:tcPr>
            <w:tcW w:type="dxa" w:w="1080"/>
          </w:tcPr>
          <w:p>
            <w:r>
              <w:t>Low — Stripe is processor for payment data</w:t>
            </w:r>
          </w:p>
        </w:tc>
      </w:tr>
      <w:tr>
        <w:tc>
          <w:tcPr>
            <w:tcW w:type="dxa" w:w="1080"/>
          </w:tcPr>
          <w:p>
            <w:r>
              <w:t>Stripe webhook idempotency</w:t>
            </w:r>
          </w:p>
        </w:tc>
        <w:tc>
          <w:tcPr>
            <w:tcW w:type="dxa" w:w="1080"/>
          </w:tcPr>
          <w:p>
            <w:r>
              <w:rPr>
                <w:rFonts w:ascii="Courier" w:hAnsi="Courier"/>
              </w:rPr>
              <w:t>ProcessedStripeEvent</w:t>
            </w:r>
          </w:p>
        </w:tc>
        <w:tc>
          <w:tcPr>
            <w:tcW w:type="dxa" w:w="1080"/>
          </w:tcPr>
          <w:p>
            <w:r>
              <w:t>yes (event ids)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Short</w:t>
            </w:r>
          </w:p>
        </w:tc>
        <w:tc>
          <w:tcPr>
            <w:tcW w:type="dxa" w:w="1080"/>
          </w:tcPr>
          <w:p>
            <w:r>
              <w:t>Purge by 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Processing philosophy — what IS and is NOT stored</w:t>
      </w:r>
      <w:r/>
    </w:p>
    <w:p>
      <w:r/>
      <w:r>
        <w:rPr>
          <w:b/>
        </w:rPr>
        <w:t>Stored (persistent):</w:t>
      </w:r>
      <w:r>
        <w:t xml:space="preserve"> workspace/group/entity structure, users/roles, </w:t>
      </w:r>
      <w:r>
        <w:rPr>
          <w:b/>
        </w:rPr>
        <w:t>mappings</w:t>
      </w:r>
      <w:r>
        <w:t xml:space="preserve"> (VAT, RGS, FIN), discovered GL </w:t>
      </w:r>
      <w:r>
        <w:rPr>
          <w:b/>
        </w:rPr>
        <w:t>account metadata</w:t>
      </w:r>
      <w:r>
        <w:t xml:space="preserve">, workspace settings, </w:t>
      </w:r>
      <w:r>
        <w:rPr>
          <w:b/>
        </w:rPr>
        <w:t>encrypted</w:t>
      </w:r>
      <w:r>
        <w:t xml:space="preserve"> connector credentials &amp; 2FA secrets, </w:t>
      </w:r>
      <w:r>
        <w:rPr>
          <w:b/>
        </w:rPr>
        <w:t>hashed</w:t>
      </w:r>
      <w:r>
        <w:t xml:space="preserve"> tokens/API keys, billing references (Stripe ids), public reference data (RGS taxonomy, FX rates), and </w:t>
      </w:r>
      <w:r>
        <w:rPr>
          <w:b/>
        </w:rPr>
        <w:t>audit/usage metadata</w:t>
      </w:r>
      <w:r>
        <w:t xml:space="preserve"> (action + hashes, </w:t>
      </w:r>
      <w:r>
        <w:rPr>
          <w:i/>
        </w:rPr>
        <w:t>no payloads</w:t>
      </w:r>
      <w:r>
        <w:t>).</w:t>
      </w:r>
      <w:r/>
    </w:p>
    <w:p>
      <w:r/>
      <w:r>
        <w:rPr>
          <w:b/>
        </w:rPr>
        <w:t>NOT stored (on-demand / transient):</w:t>
      </w:r>
      <w:r>
        <w:t xml:space="preserve"> individual </w:t>
      </w:r>
      <w:r>
        <w:rPr>
          <w:b/>
        </w:rPr>
        <w:t>transactions</w:t>
      </w:r>
      <w:r>
        <w:t xml:space="preserve">, </w:t>
      </w:r>
      <w:r>
        <w:rPr>
          <w:b/>
        </w:rPr>
        <w:t>trial balances</w:t>
      </w:r>
      <w:r>
        <w:t>,</w:t>
      </w:r>
      <w:r>
        <w:rPr>
          <w:b/>
        </w:rPr>
        <w:t>receivables/payables</w:t>
      </w:r>
      <w:r>
        <w:t xml:space="preserve">, </w:t>
      </w:r>
      <w:r>
        <w:rPr>
          <w:b/>
        </w:rPr>
        <w:t>relations/contacts</w:t>
      </w:r>
      <w:r>
        <w:t xml:space="preserve">, </w:t>
      </w:r>
      <w:r>
        <w:rPr>
          <w:b/>
        </w:rPr>
        <w:t>invoice PDFs/documents</w:t>
      </w:r>
      <w:r>
        <w:t xml:space="preserve">, </w:t>
      </w:r>
      <w:r>
        <w:rPr>
          <w:b/>
        </w:rPr>
        <w:t>source-document URLs</w:t>
      </w:r>
      <w:r>
        <w:t xml:space="preserve">, </w:t>
      </w:r>
      <w:r>
        <w:rPr>
          <w:b/>
        </w:rPr>
        <w:t>raw API request/response payloads</w:t>
      </w:r>
      <w:r>
        <w:t xml:space="preserve">, and </w:t>
      </w:r>
      <w:r>
        <w:rPr>
          <w:b/>
        </w:rPr>
        <w:t>exports</w:t>
      </w:r>
      <w:r>
        <w:t xml:space="preserve"> (streamed to the user's browser).</w:t>
      </w:r>
      <w:r/>
    </w:p>
    <w:p>
      <w:r/>
      <w:r>
        <w:rPr>
          <w:b/>
        </w:rPr>
        <w:t>How long / why:</w:t>
      </w:r>
      <w:r>
        <w:t xml:space="preserve"> persistent items live for the life of the tenant because they are configuration or reference data needed to interpret source data; transient items live only for the duration of a single HTTP request (in process memory) because FIN//HUB re-fetches them from the source on demand.</w:t>
      </w:r>
      <w:r/>
      <w:r/>
    </w:p>
    <w:p>
      <w:r/>
      <w:r>
        <w:t xml:space="preserve">⚠️ Accuracy guardrail: FIN//HUB does </w:t>
      </w:r>
      <w:r>
        <w:rPr>
          <w:b/>
        </w:rPr>
        <w:t>not</w:t>
      </w:r>
      <w:r>
        <w:t xml:space="preserve"> "store no data". It stores configuration, mappings, reference data and audit metadata as listed above. It </w:t>
      </w:r>
      <w:r>
        <w:rPr>
          <w:b/>
        </w:rPr>
        <w:t>minimizes</w:t>
      </w:r>
      <w:r>
        <w:t xml:space="preserve"> persistent storage of</w:t>
      </w:r>
      <w:r>
        <w:rPr>
          <w:i/>
        </w:rPr>
        <w:t>transaction-level</w:t>
      </w:r>
      <w:r>
        <w:t xml:space="preserve"> accounting data and </w:t>
      </w:r>
      <w:r>
        <w:rPr>
          <w:i/>
        </w:rPr>
        <w:t>secrets in plaintext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Configurable storage modes</w:t>
      </w:r>
      <w:r/>
      <w:r/>
    </w:p>
    <w:p>
      <w:r/>
      <w:r>
        <w:rPr>
          <w:i/>
        </w:rPr>
        <w:t>Implemented today:</w:t>
      </w:r>
      <w:r>
        <w:t xml:space="preserve"> effectively </w:t>
      </w:r>
      <w:r>
        <w:rPr>
          <w:b/>
        </w:rPr>
        <w:t>Mode A</w:t>
      </w:r>
      <w:r>
        <w:t xml:space="preserve"> (no persistent transaction storage). Modes B and C are the proposed roadmap; they introduce an opt-in cache/warehouse with explicit retention.</w:t>
      </w:r>
      <w:r/>
      <w:r/>
    </w:p>
    <w:p>
      <w:pPr>
        <w:pStyle w:val="Heading3"/>
      </w:pPr>
      <w:r>
        <w:t xml:space="preserve">A. Zero-storage mode </w:t>
      </w:r>
      <w:r>
        <w:rPr>
          <w:i/>
        </w:rPr>
        <w:t>(current default)</w:t>
      </w:r>
      <w:r/>
      <w:r/>
    </w:p>
    <w:p>
      <w:pPr>
        <w:pStyle w:val="ListBullet"/>
        <w:spacing w:line="240" w:lineRule="auto"/>
        <w:ind w:left="720"/>
      </w:pPr>
      <w:r/>
      <w:r>
        <w:t>No persistent transaction/trial-balance/document storage; everything fetched on demand.</w:t>
      </w:r>
      <w:r/>
    </w:p>
    <w:p>
      <w:pPr>
        <w:pStyle w:val="ListBullet"/>
        <w:spacing w:line="240" w:lineRule="auto"/>
        <w:ind w:left="720"/>
      </w:pPr>
      <w:r/>
      <w:r>
        <w:t xml:space="preserve">Only mappings, configuration, reference data, and audit/usage </w:t>
      </w:r>
      <w:r>
        <w:rPr>
          <w:b/>
        </w:rPr>
        <w:t>metadata</w:t>
      </w:r>
      <w:r>
        <w:t xml:space="preserve"> persist.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smallest attack surface &amp; GDPR footprint; "source of truth stays in the books"; trivial deletion story. </w:t>
      </w:r>
      <w:r>
        <w:rPr>
          <w:b/>
        </w:rPr>
        <w:t>Cons:</w:t>
      </w:r>
      <w:r>
        <w:t xml:space="preserve"> every report re-hits the source API (latency, connector rate-limits, source availability dependency); no historical point-in-time once a period closes in the source; limited offline/large-scale analytics.</w:t>
      </w:r>
      <w:r/>
      <w:r/>
    </w:p>
    <w:p>
      <w:pPr>
        <w:pStyle w:val="Heading3"/>
      </w:pPr>
      <w:r>
        <w:t xml:space="preserve">B. Temporary cache mode </w:t>
      </w:r>
      <w:r>
        <w:rPr>
          <w:i/>
        </w:rPr>
        <w:t>(proposed)</w:t>
      </w:r>
      <w:r/>
      <w:r/>
    </w:p>
    <w:p>
      <w:pPr>
        <w:pStyle w:val="ListBullet"/>
        <w:spacing w:line="240" w:lineRule="auto"/>
        <w:ind w:left="720"/>
      </w:pPr>
      <w:r/>
      <w:r>
        <w:t xml:space="preserve">Transactions/trial balances cached with a </w:t>
      </w:r>
      <w:r>
        <w:rPr>
          <w:b/>
        </w:rPr>
        <w:t>configurable TTL: 24h / 7d / 30d</w:t>
      </w:r>
      <w:r>
        <w:t>, per workspace.</w:t>
      </w:r>
      <w:r/>
    </w:p>
    <w:p>
      <w:pPr>
        <w:pStyle w:val="ListBullet"/>
        <w:spacing w:line="240" w:lineRule="auto"/>
        <w:ind w:left="720"/>
      </w:pPr>
      <w:r/>
      <w:r>
        <w:t xml:space="preserve">Implemented as an encrypted cache table keyed by (entity, period, query-hash) with </w:t>
      </w:r>
      <w:r>
        <w:rPr>
          <w:rFonts w:ascii="Courier" w:hAnsi="Courier"/>
        </w:rPr>
        <w:t>expiresAt</w:t>
      </w:r>
      <w:r/>
    </w:p>
    <w:p>
      <w:pPr>
        <w:pStyle w:val="ListBullet"/>
        <w:spacing w:line="240" w:lineRule="auto"/>
        <w:ind w:left="720"/>
      </w:pPr>
      <w:r/>
      <w:r>
        <w:t>a background purge job; transparent cache-then-source read path.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big latency win, fewer connector calls (cost/rate-limit), resilient to brief source downtime. </w:t>
      </w:r>
      <w:r>
        <w:rPr>
          <w:b/>
        </w:rPr>
        <w:t>Cons:</w:t>
      </w:r>
      <w:r>
        <w:t xml:space="preserve"> now storing transaction data → larger GDPR footprint &amp; retention obligations; cache invalidation complexity; must be encrypted at rest and covered by deletion flows.</w:t>
      </w:r>
      <w:r/>
      <w:r/>
    </w:p>
    <w:p>
      <w:pPr>
        <w:pStyle w:val="Heading3"/>
      </w:pPr>
      <w:r>
        <w:t xml:space="preserve">C. Enterprise warehouse mode </w:t>
      </w:r>
      <w:r>
        <w:rPr>
          <w:i/>
        </w:rPr>
        <w:t>(proposed, explicit opt-in)</w:t>
      </w:r>
      <w:r/>
      <w:r/>
    </w:p>
    <w:p>
      <w:pPr>
        <w:pStyle w:val="ListBullet"/>
        <w:spacing w:line="240" w:lineRule="auto"/>
        <w:ind w:left="720"/>
      </w:pPr>
      <w:r/>
      <w:r>
        <w:t>Customer explicitly chooses long-term storage (e.g., closed-period snapshots, consolidation results) for analytics/audit history.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durable history, fast BI, consolidation snapshots, lineage over time. </w:t>
      </w:r>
      <w:r>
        <w:rPr>
          <w:b/>
        </w:rPr>
        <w:t>Cons:</w:t>
      </w:r>
      <w:r>
        <w:t xml:space="preserve"> full accounting-data-warehouse responsibilities — retention policy, encryption at rest, backups, DPA scope, right-to-erasure handling, and clear contractual data-controller boundaries.</w:t>
      </w:r>
      <w:r/>
      <w:r/>
    </w:p>
    <w:p>
      <w:r/>
      <w:r>
        <w:rPr>
          <w:b/>
        </w:rPr>
        <w:t>Technical implication:</w:t>
      </w:r>
      <w:r>
        <w:t xml:space="preserve"> the storage mode is a </w:t>
      </w:r>
      <w:r>
        <w:rPr>
          <w:b/>
        </w:rPr>
        <w:t>workspace setting</w:t>
      </w:r>
      <w:r>
        <w:t xml:space="preserve"> (extend </w:t>
      </w:r>
      <w:r>
        <w:rPr>
          <w:rFonts w:ascii="Courier" w:hAnsi="Courier"/>
        </w:rPr>
        <w:t>WorkspaceSettings</w:t>
      </w:r>
      <w:r>
        <w:t xml:space="preserve">) that switches the read path between </w:t>
      </w:r>
      <w:r>
        <w:rPr>
          <w:i/>
        </w:rPr>
        <w:t>on-demand</w:t>
      </w:r>
      <w:r>
        <w:t xml:space="preserve">, </w:t>
      </w:r>
      <w:r>
        <w:rPr>
          <w:i/>
        </w:rPr>
        <w:t>cache-then-source</w:t>
      </w:r>
      <w:r>
        <w:t xml:space="preserve">, and </w:t>
      </w:r>
      <w:r>
        <w:rPr>
          <w:i/>
        </w:rPr>
        <w:t>warehouse</w:t>
      </w:r>
      <w:r>
        <w:t>. Default = 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Security architecture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Implemented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target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Encryption in transit</w:t>
            </w:r>
          </w:p>
        </w:tc>
        <w:tc>
          <w:tcPr>
            <w:tcW w:type="dxa" w:w="2880"/>
          </w:tcPr>
          <w:p>
            <w:r>
              <w:t>TLS to all connectors (HTTPS) and Stripe; app served over HTTPS at the edge</w:t>
            </w:r>
          </w:p>
        </w:tc>
        <w:tc>
          <w:tcPr>
            <w:tcW w:type="dxa" w:w="2880"/>
          </w:tcPr>
          <w:p>
            <w:r>
              <w:t>Enforce HSTS; TLS 1.2+; mTLS for app↔DB on managed Postgres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Encryption at rest (secrets)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AES-256-GCM</w:t>
            </w:r>
            <w:r>
              <w:t xml:space="preserve"> field encryption for connector creds + 2FA secret; bcrypt passwords; SHA-256 token/key hashes</w:t>
            </w:r>
          </w:p>
        </w:tc>
        <w:tc>
          <w:tcPr>
            <w:tcW w:type="dxa" w:w="2880"/>
          </w:tcPr>
          <w:p>
            <w:r>
              <w:t>Keep; add envelope encryption with a KMS-managed data 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Encryption at rest (database)</w:t>
            </w:r>
          </w:p>
        </w:tc>
        <w:tc>
          <w:tcPr>
            <w:tcW w:type="dxa" w:w="2880"/>
          </w:tcPr>
          <w:p>
            <w:r>
              <w:t>Deployment responsibility (disk/volume)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Managed Postgres with encryption at rest</w:t>
            </w:r>
            <w:r>
              <w:t xml:space="preserve"> + automated PITR backups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Secret management</w:t>
            </w:r>
          </w:p>
        </w:tc>
        <w:tc>
          <w:tcPr>
            <w:tcW w:type="dxa" w:w="2880"/>
          </w:tcPr>
          <w:p>
            <w:r>
              <w:t xml:space="preserve">App secrets (AES key, JWT secret, Stripe keys) via environment ( </w:t>
            </w:r>
            <w:r>
              <w:rPr>
                <w:rFonts w:ascii="Courier" w:hAnsi="Courier"/>
              </w:rPr>
              <w:t>config/env.ts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>Move to a secrets manager (Vault/cloud KMS); no secrets in images/repo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 rotation</w:t>
            </w:r>
          </w:p>
        </w:tc>
        <w:tc>
          <w:tcPr>
            <w:tcW w:type="dxa" w:w="2880"/>
          </w:tcPr>
          <w:p>
            <w:r>
              <w:t>Manual (env change)</w:t>
            </w:r>
          </w:p>
        </w:tc>
        <w:tc>
          <w:tcPr>
            <w:tcW w:type="dxa" w:w="2880"/>
          </w:tcPr>
          <w:p>
            <w:r>
              <w:t>Scheduled rotation for JWT signing + a versioned data-encryption key with re-wrap migration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Access control</w:t>
            </w:r>
          </w:p>
        </w:tc>
        <w:tc>
          <w:tcPr>
            <w:tcW w:type="dxa" w:w="2880"/>
          </w:tcPr>
          <w:p>
            <w:r>
              <w:t xml:space="preserve">JWT auth; per-scope RBAC via </w:t>
            </w:r>
            <w:r>
              <w:rPr>
                <w:rFonts w:ascii="Courier" w:hAnsi="Courier"/>
              </w:rPr>
              <w:t>Membership</w:t>
            </w:r>
            <w:r>
              <w:t xml:space="preserve"> (workspace/group/entity); platform-admin superuser; </w:t>
            </w:r>
            <w:r>
              <w:rPr>
                <w:b/>
              </w:rPr>
              <w:t>read-only</w:t>
            </w:r>
            <w:r>
              <w:t xml:space="preserve"> API keys, GET-only, rate-limited</w:t>
            </w:r>
          </w:p>
        </w:tc>
        <w:tc>
          <w:tcPr>
            <w:tcW w:type="dxa" w:w="2880"/>
          </w:tcPr>
          <w:p>
            <w:r>
              <w:t>Add per-endpoint scopes for API keys; optional IP allow-list per 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 isolation</w:t>
            </w:r>
          </w:p>
        </w:tc>
        <w:tc>
          <w:tcPr>
            <w:tcW w:type="dxa" w:w="2880"/>
          </w:tcPr>
          <w:p>
            <w:r>
              <w:t>Every query is scope-filtered by membership; connectors resolved per entity; API keys scoped to one workspace (optionally one entity)</w:t>
            </w:r>
          </w:p>
        </w:tc>
        <w:tc>
          <w:tcPr>
            <w:tcW w:type="dxa" w:w="2880"/>
          </w:tcPr>
          <w:p>
            <w:r>
              <w:t>Add row-level checks/tests as invariants; periodic isolation audits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 logging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AuditLog</w:t>
            </w:r>
            <w:r>
              <w:t xml:space="preserve"> (append-only) for security-relevant actions (connection changes, mapping changes, billing, API-key create/revoke)</w:t>
            </w:r>
          </w:p>
        </w:tc>
        <w:tc>
          <w:tcPr>
            <w:tcW w:type="dxa" w:w="2880"/>
          </w:tcPr>
          <w:p>
            <w:r>
              <w:t>Tamper-evidence (hash chaining); ship to WORM/SIEM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usage logging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ApiUsageLog</w:t>
            </w:r>
            <w:r>
              <w:t xml:space="preserve"> — metadata + SHA-256 hashes only, </w:t>
            </w:r>
            <w:r>
              <w:rPr>
                <w:b/>
              </w:rPr>
              <w:t>never tokens or payloads</w:t>
            </w:r>
            <w:r>
              <w:t xml:space="preserve"> ; INBOUND/OUTBOUND + USER/API/SYSTEM channel</w:t>
            </w:r>
          </w:p>
        </w:tc>
        <w:tc>
          <w:tcPr>
            <w:tcW w:type="dxa" w:w="2880"/>
          </w:tcPr>
          <w:p>
            <w:r>
              <w:t>Retention job; per-key dashboards (built)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Backup strategy</w:t>
            </w:r>
          </w:p>
        </w:tc>
        <w:tc>
          <w:tcPr>
            <w:tcW w:type="dxa" w:w="2880"/>
          </w:tcPr>
          <w:p>
            <w:r>
              <w:rPr>
                <w:i/>
              </w:rPr>
              <w:t>Not automated in the dev stack</w:t>
            </w:r>
          </w:p>
        </w:tc>
        <w:tc>
          <w:tcPr>
            <w:tcW w:type="dxa" w:w="2880"/>
          </w:tcPr>
          <w:p>
            <w:r>
              <w:t>Managed Postgres PITR; encrypted, access-controlled, tested restores; backups inherit retention/erasure policy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Deletion procedures</w:t>
            </w:r>
          </w:p>
        </w:tc>
        <w:tc>
          <w:tcPr>
            <w:tcW w:type="dxa" w:w="2880"/>
          </w:tcPr>
          <w:p>
            <w:r>
              <w:t xml:space="preserve">Prisma </w:t>
            </w:r>
            <w:r>
              <w:rPr>
                <w:rFonts w:ascii="Courier" w:hAnsi="Courier"/>
              </w:rPr>
              <w:t>onDelete: Cascade</w:t>
            </w:r>
            <w:r>
              <w:t xml:space="preserve"> from Workspace→…→mappings/keys/etc.; immutable mappings keep history within the tenant</w:t>
            </w:r>
          </w:p>
        </w:tc>
        <w:tc>
          <w:tcPr>
            <w:tcW w:type="dxa" w:w="2880"/>
          </w:tcPr>
          <w:p>
            <w:r>
              <w:t>Documented workspace-erasure flow incl. cache purge + backup tombstoning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Incident response</w:t>
            </w:r>
          </w:p>
        </w:tc>
        <w:tc>
          <w:tcPr>
            <w:tcW w:type="dxa" w:w="2880"/>
          </w:tcPr>
          <w:p>
            <w:r>
              <w:t>Logs + audit trail</w:t>
            </w:r>
          </w:p>
        </w:tc>
        <w:tc>
          <w:tcPr>
            <w:tcW w:type="dxa" w:w="2880"/>
          </w:tcPr>
          <w:p>
            <w:r>
              <w:t>Runbook, breach-notification timeline (GDPR 72h), key-revocation playbook (built: API-key + connector revoke)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Logging restrictions</w:t>
            </w:r>
          </w:p>
        </w:tc>
        <w:tc>
          <w:tcPr>
            <w:tcW w:type="dxa" w:w="2880"/>
          </w:tcPr>
          <w:p>
            <w:r>
              <w:t>No secrets/payloads in logs; debug response logging is dev-only</w:t>
            </w:r>
          </w:p>
        </w:tc>
        <w:tc>
          <w:tcPr>
            <w:tcW w:type="dxa" w:w="2880"/>
          </w:tcPr>
          <w:p>
            <w:r>
              <w:t>Enforce structured-log scrubbing in prod; PII redaction filter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Secure document retrieval</w:t>
            </w:r>
          </w:p>
        </w:tc>
        <w:tc>
          <w:tcPr>
            <w:tcW w:type="dxa" w:w="2880"/>
          </w:tcPr>
          <w:p>
            <w:r>
              <w:t xml:space="preserve">PDFs fetched per request and </w:t>
            </w:r>
            <w:r>
              <w:rPr>
                <w:b/>
              </w:rPr>
              <w:t>streamed</w:t>
            </w:r>
            <w:r>
              <w:t xml:space="preserve"> ( </w:t>
            </w:r>
            <w:r>
              <w:rPr>
                <w:rFonts w:ascii="Courier" w:hAnsi="Courier"/>
              </w:rPr>
              <w:t>res.end(bytes)</w:t>
            </w:r>
            <w:r>
              <w:t xml:space="preserve"> ); never written to disk/DB</w:t>
            </w:r>
          </w:p>
        </w:tc>
        <w:tc>
          <w:tcPr>
            <w:tcW w:type="dxa" w:w="2880"/>
          </w:tcPr>
          <w:p>
            <w:r>
              <w:t>Keep; short-lived signed source URLs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Secure API design</w:t>
            </w:r>
          </w:p>
        </w:tc>
        <w:tc>
          <w:tcPr>
            <w:tcW w:type="dxa" w:w="2880"/>
          </w:tcPr>
          <w:p>
            <w:r>
              <w:t>Output API is read-only, key-authenticated, rate-limited, scoped, envelope-wrapped, fully usage-logged</w:t>
            </w:r>
          </w:p>
        </w:tc>
        <w:tc>
          <w:tcPr>
            <w:tcW w:type="dxa" w:w="2880"/>
          </w:tcPr>
          <w:p>
            <w:r>
              <w:t>Add OAuth2 client-credentials option + scopes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Logging strategy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Stored logs:</w:t>
      </w:r>
      <w:r>
        <w:t xml:space="preserve"> </w:t>
      </w:r>
      <w:r>
        <w:rPr>
          <w:rFonts w:ascii="Courier" w:hAnsi="Courier"/>
        </w:rPr>
        <w:t>AuditLog</w:t>
      </w:r>
      <w:r>
        <w:t xml:space="preserve"> (action + minimal metadata) and </w:t>
      </w:r>
      <w:r>
        <w:rPr>
          <w:rFonts w:ascii="Courier" w:hAnsi="Courier"/>
        </w:rPr>
        <w:t>ApiUsageLog</w:t>
      </w:r>
      <w:r>
        <w:t xml:space="preserve"> (request/correlation ids, scope, endpoint, method, status, success, retries, duration, sizes, rate-limit, </w:t>
      </w:r>
      <w:r>
        <w:rPr>
          <w:b/>
        </w:rPr>
        <w:t>SHA-256 request/response hashes</w:t>
      </w:r>
      <w:r>
        <w:t>, initiator/channel). Application logs (pino) for operations.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 stored in logs:</w:t>
      </w:r>
      <w:r>
        <w:t xml:space="preserve"> API keys, tokens, refresh tokens, connector credentials, raw request or response </w:t>
      </w:r>
      <w:r>
        <w:rPr>
          <w:b/>
        </w:rPr>
        <w:t>bodies/payloads</w:t>
      </w:r>
      <w:r>
        <w:t xml:space="preserve">, PDF bytes, transaction contents. Only </w:t>
      </w:r>
      <w:r>
        <w:rPr>
          <w:b/>
        </w:rPr>
        <w:t>hashes + sizes</w:t>
      </w:r>
      <w:r>
        <w:t xml:space="preserve"> are kept, so payloads are </w:t>
      </w:r>
      <w:r>
        <w:rPr>
          <w:i/>
        </w:rPr>
        <w:t>attestable but not reconstructable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Masking:</w:t>
      </w:r>
      <w:r>
        <w:t xml:space="preserve"> secrets are never passed to the logger; the SOAP envelope (which contains the Yuki accessKey/sessionID) is </w:t>
      </w:r>
      <w:r>
        <w:rPr>
          <w:b/>
        </w:rPr>
        <w:t>never hashed or logged</w:t>
      </w:r>
      <w:r>
        <w:t xml:space="preserve"> — only the </w:t>
      </w:r>
      <w:r>
        <w:rPr>
          <w:rFonts w:ascii="Courier" w:hAnsi="Courier"/>
        </w:rPr>
        <w:t>service.method</w:t>
      </w:r>
      <w:r>
        <w:t xml:space="preserve"> label is.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Retention (proposed):</w:t>
      </w:r>
      <w:r>
        <w:t xml:space="preserve"> usage ledger 90–180 days rolling (configurable); audit trail longer for compliance; application logs short (e.g., 14–30 days) with PII scrubbing.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Privacy / GDPR architecture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Roles:</w:t>
      </w:r>
      <w:r>
        <w:t xml:space="preserve"> the customer (workspace owner) is the </w:t>
      </w:r>
      <w:r>
        <w:rPr>
          <w:b/>
        </w:rPr>
        <w:t>data controller</w:t>
      </w:r>
      <w:r>
        <w:t xml:space="preserve">; FIN//HUB is a </w:t>
      </w:r>
      <w:r>
        <w:rPr>
          <w:b/>
        </w:rPr>
        <w:t>data processor</w:t>
      </w:r>
      <w:r>
        <w:t xml:space="preserve"> acting on documented instructions (the connections/mappings the customer configures). Stripe is a </w:t>
      </w:r>
      <w:r>
        <w:rPr>
          <w:b/>
        </w:rPr>
        <w:t>sub-processor</w:t>
      </w:r>
      <w:r>
        <w:t xml:space="preserve"> for payment data; the accounting connectors are the upstream controllers/sources.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 minimization:</w:t>
      </w:r>
      <w:r>
        <w:t xml:space="preserve"> the on-demand architecture means transaction-level personal data (e.g., debtor/creditor names) is processed transiently and </w:t>
      </w:r>
      <w:r>
        <w:rPr>
          <w:b/>
        </w:rPr>
        <w:t>not persisted</w:t>
      </w:r>
      <w:r>
        <w:t xml:space="preserve"> by default.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Right to erasure / workspace deletion:</w:t>
      </w:r>
      <w:r>
        <w:t xml:space="preserve"> deleting a workspace cascades to its groups, entities, connections (and thus encrypted credentials), mappings, settings, API keys and source-account metadata. </w:t>
      </w:r>
      <w:r>
        <w:rPr>
          <w:i/>
        </w:rPr>
        <w:t>Proposed:</w:t>
      </w:r>
      <w:r>
        <w:t xml:space="preserve"> a single audited "erase workspace" flow that also purges any caches (Mode B/C) and tombstones backups.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Exportability (portability):</w:t>
      </w:r>
      <w:r>
        <w:t xml:space="preserve"> mappings/config and (when enabled) cached/warehoused data are exportable via the Output API (JSON/CSV) and Excel exports.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Tenant isolation:</w:t>
      </w:r>
      <w:r>
        <w:t xml:space="preserve"> enforced by membership-scoped queries and per-workspace API keys.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Sub-processor considerations:</w:t>
      </w:r>
      <w:r>
        <w:t xml:space="preserve"> maintain a public sub-processor list (hosting/managed-DB, Stripe, e-mail/Graph, FX/ECB source); each under a DPA.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Auditability:</w:t>
      </w:r>
      <w:r>
        <w:t xml:space="preserve"> append-only </w:t>
      </w:r>
      <w:r>
        <w:rPr>
          <w:rFonts w:ascii="Courier" w:hAnsi="Courier"/>
        </w:rPr>
        <w:t>AuditLog</w:t>
      </w:r>
      <w:r>
        <w:t xml:space="preserve"> + </w:t>
      </w:r>
      <w:r>
        <w:rPr>
          <w:rFonts w:ascii="Courier" w:hAnsi="Courier"/>
        </w:rPr>
        <w:t>ApiUsageLog</w:t>
      </w:r>
      <w:r>
        <w:t xml:space="preserve"> provide who/what/when for config changes and data access (incl. external API access).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Public-facing statements</w:t>
      </w:r>
      <w:r/>
    </w:p>
    <w:p>
      <w:pPr>
        <w:pStyle w:val="Heading3"/>
      </w:pPr>
      <w:r>
        <w:t>8a. Technical security philosophy</w:t>
      </w:r>
      <w:r/>
      <w:r/>
    </w:p>
    <w:p>
      <w:r/>
      <w:r>
        <w:t xml:space="preserve">FIN//HUB is built on a </w:t>
      </w:r>
      <w:r>
        <w:rPr>
          <w:i/>
        </w:rPr>
        <w:t>data-minimization-first</w:t>
      </w:r>
      <w:r>
        <w:t xml:space="preserve"> principle. We treat the connected accounting systems as the source of truth and retrieve transaction-level data </w:t>
      </w:r>
      <w:r>
        <w:rPr>
          <w:b/>
        </w:rPr>
        <w:t>on demand</w:t>
      </w:r>
      <w:r>
        <w:t>, processing it transiently rather than persisting it. We store the minimum needed to do our job — configuration, mappings, public reference data, and tamper-evident audit/usage metadata — and we protect secrets with strong, field-level encryption. Every external data access is authenticated, scoped, rate-limited and logged.</w:t>
      </w:r>
      <w:r/>
      <w:r/>
    </w:p>
    <w:p>
      <w:pPr>
        <w:pStyle w:val="Heading3"/>
      </w:pPr>
      <w:r>
        <w:t>8b. Customer-friendly security statement</w:t>
      </w:r>
      <w:r/>
      <w:r/>
    </w:p>
    <w:p>
      <w:r/>
      <w:r>
        <w:rPr>
          <w:b/>
        </w:rPr>
        <w:t>Your books stay your books.</w:t>
      </w:r>
      <w:r>
        <w:t xml:space="preserve"> FIN//HUB connects to your accounting software to normalize, consolidate and report on your figures — it is not a copy of your bookkeeping. By default we do</w:t>
      </w:r>
      <w:r>
        <w:rPr>
          <w:b/>
        </w:rPr>
        <w:t>not</w:t>
      </w:r>
      <w:r>
        <w:t xml:space="preserve"> store your individual transactions, trial balances or invoice PDFs; we fetch them when you open a report and discard them afterward. We do store the settings and mappings that make your reports work, and audit/usage records (without the underlying content). Connector credentials are encrypted; passwords and tokens are hashed; access is role-based and isolated per organization. You can revoke any connection or API key at any time, and deleting your workspace removes your configuration and credentials.</w:t>
      </w:r>
      <w:r/>
      <w:r/>
    </w:p>
    <w:p>
      <w:pPr>
        <w:pStyle w:val="Heading3"/>
      </w:pPr>
      <w:r>
        <w:t>8c. Concise website trust statement</w:t>
      </w:r>
      <w:r/>
      <w:r/>
    </w:p>
    <w:p>
      <w:r/>
      <w:r>
        <w:rPr>
          <w:i/>
        </w:rPr>
        <w:t>FIN//HUB normalizes and reports on your financial data without becoming a second bookkeeping system. By default your transactions and documents are retrieved on demand and not stored — encrypted credentials, role-based access, per-tenant isolation and full audit logging keep your data safe and your books the single source of truth.</w:t>
      </w:r>
      <w:r/>
    </w:p>
    <w:p>
      <w:r/>
      <w:r>
        <w:t xml:space="preserve">⚠️ Use 8a–8c </w:t>
      </w:r>
      <w:r>
        <w:rPr>
          <w:b/>
        </w:rPr>
        <w:t>only while Mode A is the active default.</w:t>
      </w:r>
      <w:r>
        <w:t xml:space="preserve"> If a workspace enables cache/warehouse modes (B/C), update the statement to reflect that transaction data is then stored (encrypted, with a stated retention period).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Architecture diagrams</w:t>
      </w:r>
      <w:r/>
    </w:p>
    <w:p>
      <w:pPr>
        <w:pStyle w:val="Heading3"/>
      </w:pPr>
      <w:r>
        <w:t>9a. Data-flow: on-demand reporting (transient)</w:t>
      </w:r>
      <w:r/>
    </w:p>
    <w:p>
      <w:r/>
      <w:r>
        <w:rPr>
          <w:rFonts w:ascii="Courier" w:hAnsi="Courier"/>
        </w:rPr>
        <w:t>flowchart LR</w:t>
        <w:br/>
        <w:t xml:space="preserve">  U[User / external API client] --&gt;|HTTPS+auth| API[FIN//HUB API]</w:t>
        <w:br/>
        <w:t xml:space="preserve">  API --&gt;|scope check (membership / API key)| RES[Resolve connector for entity]</w:t>
        <w:br/>
        <w:t xml:space="preserve">  RES --&gt;|decrypt creds (AES-GCM)| CONN[Connector client]</w:t>
        <w:br/>
        <w:t xml:space="preserve">  CONN --&gt;|TLS request| SRC[(Accounting system\nYuki / e-Boekhouden)]</w:t>
        <w:br/>
        <w:t xml:space="preserve">  SRC --&gt;|transactions / TB / PDF| CONN</w:t>
        <w:br/>
        <w:t xml:space="preserve">  CONN --&gt;|apply VAT + RGS + FX in memory| API</w:t>
        <w:br/>
        <w:t xml:space="preserve">  API --&gt;|stream result| U</w:t>
        <w:br/>
        <w:t xml:space="preserve">  API -.-&gt;|metadata + hashes only| LEDGER[(ApiUsageLog / AuditLog)]</w:t>
        <w:br/>
        <w:t xml:space="preserve">  note1[/Transactions, TB, PDFs:\nNEVER written to DB/]:::n -.- API</w:t>
        <w:br/>
        <w:t>classDef n fill:#fff3cd,stroke:#e0a800;</w:t>
        <w:br/>
      </w:r>
      <w:r/>
    </w:p>
    <w:p>
      <w:pPr>
        <w:pStyle w:val="Heading3"/>
      </w:pPr>
      <w:r>
        <w:t>9b. Persistent vs transient storage</w:t>
      </w:r>
      <w:r/>
    </w:p>
    <w:p>
      <w:r/>
      <w:r>
        <w:rPr>
          <w:rFonts w:ascii="Courier" w:hAnsi="Courier"/>
        </w:rPr>
        <w:t>PERSISTENT (DB)                         TRANSIENT (request memory only)</w:t>
        <w:br/>
        <w:t xml:space="preserve">  • Workspace/Group/Entity                • Transactions</w:t>
        <w:br/>
        <w:t xml:space="preserve">  • Users / Memberships                   • Trial balances</w:t>
        <w:br/>
        <w:t xml:space="preserve">  • Mappings (VAT / RGS / FIN)            • Receivables / payables</w:t>
        <w:br/>
        <w:t xml:space="preserve">  • SourceAccount metadata                • Relations / contacts</w:t>
        <w:br/>
        <w:t xml:space="preserve">  • WorkspaceSettings                     • Invoice PDFs (streamed)</w:t>
        <w:br/>
        <w:t xml:space="preserve">  • Connection (creds: AES-GCM)          • Raw API payloads (only hashed)</w:t>
        <w:br/>
        <w:t xml:space="preserve">  • Tokens / API keys (hash only)         • Exports (streamed to browser)</w:t>
        <w:br/>
        <w:t xml:space="preserve">  • RgsAccount / FxRate (public)</w:t>
        <w:br/>
        <w:t xml:space="preserve">  • AuditLog / ApiUsageLog (metadata)</w:t>
        <w:br/>
      </w:r>
      <w:r/>
    </w:p>
    <w:p>
      <w:pPr>
        <w:pStyle w:val="Heading3"/>
      </w:pPr>
      <w:r>
        <w:t>9c. Connector security model</w:t>
      </w:r>
      <w:r/>
    </w:p>
    <w:p>
      <w:r/>
      <w:r>
        <w:rPr>
          <w:rFonts w:ascii="Courier" w:hAnsi="Courier"/>
        </w:rPr>
        <w:t>flowchart TB</w:t>
        <w:br/>
        <w:t xml:space="preserve">  C[Connection row] --&gt;|encryptedCredentials AES-256-GCM| K[Key from env/KMS]</w:t>
        <w:br/>
        <w:t xml:space="preserve">  K --&gt; D[Decrypt at request time only]</w:t>
        <w:br/>
        <w:t xml:space="preserve">  D --&gt; X[Connector HTTP client over TLS]</w:t>
        <w:br/>
        <w:t xml:space="preserve">  X --&gt; S[(Source API)]</w:t>
        <w:br/>
        <w:t xml:space="preserve">  X -.-&gt;|log endpoint/status/bytes/hash\nNEVER token or payload| L[(ApiUsageLog)]</w:t>
        <w:br/>
      </w:r>
      <w:r/>
    </w:p>
    <w:p>
      <w:pPr>
        <w:pStyle w:val="Heading3"/>
      </w:pPr>
      <w:r>
        <w:t>9d. Secure document retrieval</w:t>
      </w:r>
      <w:r/>
    </w:p>
    <w:p>
      <w:r/>
      <w:r>
        <w:rPr>
          <w:rFonts w:ascii="Courier" w:hAnsi="Courier"/>
        </w:rPr>
        <w:t>User clicks invoice → API (auth+scope) → connector.getInvoicePdf(ref)</w:t>
        <w:br/>
        <w:t xml:space="preserve">   → source returns bytes over TLS → API streams bytes to user (res.end)</w:t>
        <w:br/>
        <w:t xml:space="preserve">   → nothing written to disk or DB → usage logged (metadata only)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Recommendations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Default storage model = Mode A (Zero-storage).</w:t>
      </w:r>
      <w:r>
        <w:t xml:space="preserve"> It is already the implemented behavior and is the strongest trust/privacy posture. Keep it as the default and the marketing baseline.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Offer Mode B (cache, opt-in)</w:t>
      </w:r>
      <w:r>
        <w:t xml:space="preserve"> for performance-sensitive workspaces, encrypted at rest with a 24h/7d/30d TTL and a purge job; clearly disclose the changed retention in-product.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Reserve Mode C (warehouse)</w:t>
      </w:r>
      <w:r>
        <w:t xml:space="preserve"> for enterprise customers who explicitly want history, under a DPA with documented retention, backups and erasure.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Harden the platform basics</w:t>
      </w:r>
      <w:r>
        <w:t xml:space="preserve"> before enterprise sales: managed Postgres with encryption at rest + automated, tested PITR backups; secrets in a KMS; scheduled key rotation; log scrubbing in prod.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Accounting/audit implications:</w:t>
      </w:r>
      <w:r>
        <w:t xml:space="preserve"> the source system remains the legal book of record; FIN//HUB provides lineage (mapping history is immutable) and audit/usage trails. Snapshots (Mode C) must be labeled as </w:t>
      </w:r>
      <w:r>
        <w:rPr>
          <w:i/>
        </w:rPr>
        <w:t>derived</w:t>
      </w:r>
      <w:r>
        <w:t xml:space="preserve"> figures, not the statutory ledger.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Performance:</w:t>
      </w:r>
      <w:r>
        <w:t xml:space="preserve"> Mode A trades latency/connector-load for minimal storage; mitigate with Mode B caching where the customer accepts the retention trade-off.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Security trade-off:</w:t>
      </w:r>
      <w:r>
        <w:t xml:space="preserve"> persistence (B/C) increases the breach blast-radius; compensate with encryption at rest, strict retention, and per-tenant isolation tests.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Compliance trade-off:</w:t>
      </w:r>
      <w:r>
        <w:t xml:space="preserve"> more persistence = more GDPR obligations (retention, erasure, DPA scope). Keep persistence </w:t>
      </w:r>
      <w:r>
        <w:rPr>
          <w:i/>
        </w:rPr>
        <w:t>opt-in and per-workspace</w:t>
      </w:r>
      <w:r>
        <w:t xml:space="preserve"> so the obligation follows the choice.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Implemented today, verified in code:</w:t>
      </w:r>
      <w:r>
        <w:t xml:space="preserve"> on-demand transaction/TB/PDF retrieval (no persistence), AES-256-GCM connector-credential &amp; 2FA-secret encryption, bcrypt passwords, hash-only tokens/API keys, read-only/rate-limited/usage-logged Output API, membership-scoped tenant isolation, append-only audit + usage ledgers that store hashes — not payloads. </w:t>
      </w:r>
      <w:r>
        <w:rPr>
          <w:i/>
        </w:rPr>
        <w:t>Proposed/roadmap:</w:t>
      </w:r>
      <w:r>
        <w:t xml:space="preserve"> cache/warehouse modes, automated backups, KMS + key rotation, retention jobs, formal workspace-erasure flow, DPA/sub-processor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