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2AFC" w14:textId="71B856EF" w:rsidR="00F40DC6" w:rsidRPr="00F40DC6" w:rsidRDefault="00F40DC6" w:rsidP="00F40DC6">
      <w:pPr>
        <w:rPr>
          <w:b/>
          <w:bCs/>
        </w:rPr>
      </w:pPr>
      <w:r w:rsidRPr="00F40DC6">
        <w:rPr>
          <w:b/>
          <w:bCs/>
        </w:rPr>
        <w:t>Advanced AI Forecasting with TensorFlow and N</w:t>
      </w:r>
      <w:r w:rsidR="003D3E41">
        <w:rPr>
          <w:b/>
          <w:bCs/>
        </w:rPr>
        <w:t xml:space="preserve">atural </w:t>
      </w:r>
      <w:r w:rsidRPr="00F40DC6">
        <w:rPr>
          <w:b/>
          <w:bCs/>
        </w:rPr>
        <w:t>L</w:t>
      </w:r>
      <w:r w:rsidR="003D3E41">
        <w:rPr>
          <w:b/>
          <w:bCs/>
        </w:rPr>
        <w:t xml:space="preserve">anguage </w:t>
      </w:r>
      <w:r w:rsidRPr="00F40DC6">
        <w:rPr>
          <w:b/>
          <w:bCs/>
        </w:rPr>
        <w:t>P</w:t>
      </w:r>
      <w:r w:rsidR="003D3E41">
        <w:rPr>
          <w:b/>
          <w:bCs/>
        </w:rPr>
        <w:t>rocessing</w:t>
      </w:r>
    </w:p>
    <w:p w14:paraId="0519C5D7" w14:textId="14FECA4F" w:rsidR="00F40DC6" w:rsidRPr="00F40DC6" w:rsidRDefault="00F40DC6" w:rsidP="00F40DC6">
      <w:pPr>
        <w:rPr>
          <w:b/>
          <w:bCs/>
        </w:rPr>
      </w:pPr>
      <w:r w:rsidRPr="00F40DC6">
        <w:rPr>
          <w:b/>
          <w:bCs/>
        </w:rPr>
        <w:t xml:space="preserve">Week </w:t>
      </w:r>
      <w:r w:rsidR="001D6E42">
        <w:rPr>
          <w:b/>
          <w:bCs/>
        </w:rPr>
        <w:t>2</w:t>
      </w:r>
      <w:r w:rsidRPr="00F40DC6">
        <w:rPr>
          <w:b/>
          <w:bCs/>
        </w:rPr>
        <w:t xml:space="preserve"> — Time Series Foundations, Dataset Exploration, and Lookback Theory</w:t>
      </w:r>
    </w:p>
    <w:p w14:paraId="48C7823C" w14:textId="77777777" w:rsidR="00F40DC6" w:rsidRDefault="00000000" w:rsidP="00F40DC6">
      <w:r>
        <w:pict w14:anchorId="36F490EA">
          <v:rect id="_x0000_i1025" style="width:0;height:1.5pt" o:hralign="center" o:hrstd="t" o:hr="t" fillcolor="#a0a0a0" stroked="f"/>
        </w:pict>
      </w:r>
    </w:p>
    <w:p w14:paraId="4E0D2650" w14:textId="0F8D55B1" w:rsidR="00D962F3" w:rsidRDefault="00D962F3" w:rsidP="00F40DC6">
      <w:r w:rsidRPr="00D962F3">
        <w:rPr>
          <w:b/>
          <w:bCs/>
        </w:rPr>
        <w:t>Note:</w:t>
      </w:r>
      <w:r w:rsidRPr="00D962F3">
        <w:t xml:space="preserve"> This Colab Notebook can be fully executed on a CPU runtime. A GPU is not required for the setup phase, and all steps in this section will run without hardware acceleration.</w:t>
      </w:r>
    </w:p>
    <w:p w14:paraId="594A9ADE" w14:textId="69F52D6E" w:rsidR="00D962F3" w:rsidRPr="00F40DC6" w:rsidRDefault="00000000" w:rsidP="00F40DC6">
      <w:r>
        <w:pict w14:anchorId="1E24198E">
          <v:rect id="_x0000_i1026" style="width:0;height:1.5pt" o:hralign="center" o:hrstd="t" o:hr="t" fillcolor="#a0a0a0" stroked="f"/>
        </w:pict>
      </w:r>
    </w:p>
    <w:p w14:paraId="28DC23EA" w14:textId="1E209F8B" w:rsidR="00F40DC6" w:rsidRPr="00F40DC6" w:rsidRDefault="00F40DC6" w:rsidP="00F40DC6">
      <w:pPr>
        <w:rPr>
          <w:b/>
          <w:bCs/>
        </w:rPr>
      </w:pPr>
      <w:r w:rsidRPr="00F40DC6">
        <w:rPr>
          <w:b/>
          <w:bCs/>
        </w:rPr>
        <w:t>Learning Objectives</w:t>
      </w:r>
    </w:p>
    <w:p w14:paraId="205A9E54" w14:textId="19751C63" w:rsidR="00F40DC6" w:rsidRPr="00F40DC6" w:rsidRDefault="00F40DC6" w:rsidP="00F40DC6">
      <w:r w:rsidRPr="00F40DC6">
        <w:t xml:space="preserve">By the end of Week </w:t>
      </w:r>
      <w:r w:rsidR="00F50C0D">
        <w:t>2</w:t>
      </w:r>
      <w:r w:rsidRPr="00F40DC6">
        <w:t>, students should be able to:</w:t>
      </w:r>
    </w:p>
    <w:p w14:paraId="4F78B995" w14:textId="77777777" w:rsidR="00F40DC6" w:rsidRPr="00F40DC6" w:rsidRDefault="00F40DC6" w:rsidP="00F40DC6">
      <w:pPr>
        <w:numPr>
          <w:ilvl w:val="0"/>
          <w:numId w:val="11"/>
        </w:numPr>
      </w:pPr>
      <w:r w:rsidRPr="00F40DC6">
        <w:t>Understand the fundamentals of time series forecasting.</w:t>
      </w:r>
    </w:p>
    <w:p w14:paraId="65746464" w14:textId="77777777" w:rsidR="00F40DC6" w:rsidRPr="00F40DC6" w:rsidRDefault="00F40DC6" w:rsidP="00F40DC6">
      <w:pPr>
        <w:numPr>
          <w:ilvl w:val="0"/>
          <w:numId w:val="11"/>
        </w:numPr>
      </w:pPr>
      <w:r w:rsidRPr="00F40DC6">
        <w:t>Navigate and explore the NVIDIA stock dataset.</w:t>
      </w:r>
    </w:p>
    <w:p w14:paraId="3D3C334F" w14:textId="77777777" w:rsidR="00F40DC6" w:rsidRPr="00F40DC6" w:rsidRDefault="00F40DC6" w:rsidP="00F40DC6">
      <w:pPr>
        <w:numPr>
          <w:ilvl w:val="0"/>
          <w:numId w:val="11"/>
        </w:numPr>
      </w:pPr>
      <w:r w:rsidRPr="00F40DC6">
        <w:t>Perform exploratory data analysis (EDA) and basic feature engineering.</w:t>
      </w:r>
    </w:p>
    <w:p w14:paraId="49893584" w14:textId="77777777" w:rsidR="00F40DC6" w:rsidRPr="00F40DC6" w:rsidRDefault="00F40DC6" w:rsidP="00F40DC6">
      <w:pPr>
        <w:numPr>
          <w:ilvl w:val="0"/>
          <w:numId w:val="11"/>
        </w:numPr>
      </w:pPr>
      <w:r w:rsidRPr="00F40DC6">
        <w:t>Understand the concept of lookback windows in sequential models.</w:t>
      </w:r>
    </w:p>
    <w:p w14:paraId="2FD6DE4C" w14:textId="77777777" w:rsidR="00F40DC6" w:rsidRPr="00F40DC6" w:rsidRDefault="00F40DC6" w:rsidP="00F40DC6">
      <w:pPr>
        <w:numPr>
          <w:ilvl w:val="0"/>
          <w:numId w:val="11"/>
        </w:numPr>
      </w:pPr>
      <w:r w:rsidRPr="00F40DC6">
        <w:t>Discuss ethical considerations, licensing, and compliance.</w:t>
      </w:r>
    </w:p>
    <w:p w14:paraId="51FC7566" w14:textId="77777777" w:rsidR="00F40DC6" w:rsidRPr="00F40DC6" w:rsidRDefault="00000000" w:rsidP="00F40DC6">
      <w:r>
        <w:pict w14:anchorId="5F682989">
          <v:rect id="_x0000_i1027" style="width:0;height:1.5pt" o:hralign="center" o:hrstd="t" o:hr="t" fillcolor="#a0a0a0" stroked="f"/>
        </w:pict>
      </w:r>
    </w:p>
    <w:p w14:paraId="6FE765B6" w14:textId="358FACF2" w:rsidR="00D84936" w:rsidRPr="00D84936" w:rsidRDefault="00D84936" w:rsidP="00D84936">
      <w:pPr>
        <w:rPr>
          <w:b/>
          <w:bCs/>
        </w:rPr>
      </w:pPr>
      <w:r w:rsidRPr="00D84936">
        <w:rPr>
          <w:b/>
          <w:bCs/>
        </w:rPr>
        <w:t xml:space="preserve">How this supports the Week </w:t>
      </w:r>
      <w:r w:rsidR="008C46CE">
        <w:rPr>
          <w:b/>
          <w:bCs/>
        </w:rPr>
        <w:t>2</w:t>
      </w:r>
      <w:r w:rsidRPr="00D84936">
        <w:rPr>
          <w:b/>
          <w:bCs/>
        </w:rPr>
        <w:t xml:space="preserve"> pipeline</w:t>
      </w:r>
    </w:p>
    <w:p w14:paraId="645DB0C2" w14:textId="070AFD0F" w:rsidR="00D84936" w:rsidRPr="00D84936" w:rsidRDefault="00D84936" w:rsidP="00D84936">
      <w:pPr>
        <w:rPr>
          <w:b/>
          <w:bCs/>
        </w:rPr>
      </w:pPr>
      <w:r w:rsidRPr="00D84936">
        <w:t xml:space="preserve">For Weeks </w:t>
      </w:r>
      <w:r w:rsidR="008C46CE">
        <w:t>2</w:t>
      </w:r>
      <w:r w:rsidRPr="00D84936">
        <w:t>–</w:t>
      </w:r>
      <w:r w:rsidR="008C46CE">
        <w:t>6,</w:t>
      </w:r>
      <w:r w:rsidRPr="00D84936">
        <w:t xml:space="preserve"> all students will work in Google Colab, which provides free-tier access to </w:t>
      </w:r>
      <w:r w:rsidR="00573BA6">
        <w:t>T4 GPU</w:t>
      </w:r>
      <w:r w:rsidRPr="00D84936">
        <w:t xml:space="preserve">. </w:t>
      </w:r>
      <w:r w:rsidR="00573BA6">
        <w:t xml:space="preserve">Also, if students prefer access to the A100 or L4 GPU with priority usage, they can sign up for “No Cost for students and educators” subscription at: </w:t>
      </w:r>
      <w:hyperlink r:id="rId5" w:history="1">
        <w:r w:rsidR="00573BA6" w:rsidRPr="00835E80">
          <w:rPr>
            <w:rStyle w:val="Hyperlink"/>
          </w:rPr>
          <w:t>https://colab.research.google.com/signup</w:t>
        </w:r>
      </w:hyperlink>
      <w:r w:rsidR="00573BA6">
        <w:t>. Remind students to use their UAT student email when signing up. Finally, students can also pay a one-time payment of $9.99 for 100 Compute Units (</w:t>
      </w:r>
      <w:hyperlink r:id="rId6" w:history="1">
        <w:r w:rsidR="00573BA6" w:rsidRPr="00835E80">
          <w:rPr>
            <w:rStyle w:val="Hyperlink"/>
          </w:rPr>
          <w:t>https://colab.research.google.com/signup</w:t>
        </w:r>
      </w:hyperlink>
      <w:r w:rsidR="00573BA6">
        <w:t xml:space="preserve">) for access to the A100 or L4 GPUs, which is more than enough to run all the notebooks for the entire class. </w:t>
      </w:r>
      <w:r w:rsidRPr="00D84936">
        <w:t>This ensures that every student</w:t>
      </w:r>
      <w:r w:rsidR="00435A23">
        <w:t xml:space="preserve">, </w:t>
      </w:r>
      <w:r w:rsidRPr="00D84936">
        <w:t>regardless of local hardware</w:t>
      </w:r>
      <w:r w:rsidR="00435A23">
        <w:t xml:space="preserve">, </w:t>
      </w:r>
      <w:r w:rsidRPr="00D84936">
        <w:t>can:</w:t>
      </w:r>
    </w:p>
    <w:p w14:paraId="7BD215F9" w14:textId="2D6D0F38" w:rsidR="00D84936" w:rsidRPr="00D84936" w:rsidRDefault="00D84936" w:rsidP="00D84936">
      <w:pPr>
        <w:pStyle w:val="ListParagraph"/>
        <w:numPr>
          <w:ilvl w:val="0"/>
          <w:numId w:val="24"/>
        </w:numPr>
      </w:pPr>
      <w:r w:rsidRPr="00D84936">
        <w:t>Experiment with sequential models in real time.</w:t>
      </w:r>
    </w:p>
    <w:p w14:paraId="6F50C2B1" w14:textId="44894823" w:rsidR="00D84936" w:rsidRPr="00D84936" w:rsidRDefault="00D84936" w:rsidP="00D84936">
      <w:pPr>
        <w:pStyle w:val="ListParagraph"/>
        <w:numPr>
          <w:ilvl w:val="0"/>
          <w:numId w:val="24"/>
        </w:numPr>
      </w:pPr>
      <w:r w:rsidRPr="00D84936">
        <w:t>Compare results across lookback configurations.</w:t>
      </w:r>
    </w:p>
    <w:p w14:paraId="18F17EBA" w14:textId="0849FD6F" w:rsidR="005E2B58" w:rsidRPr="00D84936" w:rsidRDefault="00D84936" w:rsidP="00D84936">
      <w:pPr>
        <w:pStyle w:val="ListParagraph"/>
        <w:numPr>
          <w:ilvl w:val="0"/>
          <w:numId w:val="24"/>
        </w:numPr>
      </w:pPr>
      <w:r w:rsidRPr="00D84936">
        <w:t>Begin thinking about how the same pipelines will later run unattended in a local or server-based automated environment.</w:t>
      </w:r>
    </w:p>
    <w:p w14:paraId="540A1AF4" w14:textId="19D19944" w:rsidR="00F40DC6" w:rsidRPr="00F40DC6" w:rsidRDefault="00F40DC6" w:rsidP="00F40DC6">
      <w:pPr>
        <w:rPr>
          <w:b/>
          <w:bCs/>
        </w:rPr>
      </w:pPr>
      <w:r w:rsidRPr="00F40DC6">
        <w:rPr>
          <w:b/>
          <w:bCs/>
        </w:rPr>
        <w:t>Common pitfalls to emphasize</w:t>
      </w:r>
    </w:p>
    <w:p w14:paraId="09639FCD" w14:textId="77777777" w:rsidR="00D84936" w:rsidRDefault="00F40DC6" w:rsidP="00F40DC6">
      <w:pPr>
        <w:numPr>
          <w:ilvl w:val="0"/>
          <w:numId w:val="15"/>
        </w:numPr>
      </w:pPr>
      <w:r w:rsidRPr="00F40DC6">
        <w:rPr>
          <w:b/>
          <w:bCs/>
        </w:rPr>
        <w:t>Driver-toolkit mismatch:</w:t>
      </w:r>
      <w:r w:rsidRPr="00F40DC6">
        <w:t xml:space="preserve"> Ensure Windows NVIDIA driver is up to date before installing framework wheels. </w:t>
      </w:r>
    </w:p>
    <w:p w14:paraId="22B8DD29" w14:textId="0BD1C447" w:rsidR="00F40DC6" w:rsidRPr="00F40DC6" w:rsidRDefault="00F40DC6" w:rsidP="00D84936">
      <w:pPr>
        <w:numPr>
          <w:ilvl w:val="1"/>
          <w:numId w:val="15"/>
        </w:numPr>
      </w:pPr>
      <w:r w:rsidRPr="00F40DC6">
        <w:lastRenderedPageBreak/>
        <w:t xml:space="preserve">If using Colab, remind students </w:t>
      </w:r>
      <w:r w:rsidR="005E2B58">
        <w:t xml:space="preserve">that </w:t>
      </w:r>
      <w:r w:rsidRPr="00F40DC6">
        <w:t>the runtime already includes CUDA/cuDNN.</w:t>
      </w:r>
    </w:p>
    <w:p w14:paraId="29092232" w14:textId="77777777" w:rsidR="00F40DC6" w:rsidRPr="00F40DC6" w:rsidRDefault="00F40DC6" w:rsidP="00F40DC6">
      <w:pPr>
        <w:numPr>
          <w:ilvl w:val="0"/>
          <w:numId w:val="15"/>
        </w:numPr>
      </w:pPr>
      <w:r w:rsidRPr="00F40DC6">
        <w:rPr>
          <w:b/>
          <w:bCs/>
        </w:rPr>
        <w:t>Python/NumPy/TensorFlow ABI mismatches:</w:t>
      </w:r>
      <w:r w:rsidRPr="00F40DC6">
        <w:t xml:space="preserve"> Pin versions when needed (as shown in the lab script) to avoid binary incompatibilities.</w:t>
      </w:r>
    </w:p>
    <w:p w14:paraId="5E71A9C2" w14:textId="77777777" w:rsidR="00F40DC6" w:rsidRDefault="00F40DC6" w:rsidP="00F40DC6">
      <w:pPr>
        <w:numPr>
          <w:ilvl w:val="0"/>
          <w:numId w:val="15"/>
        </w:numPr>
      </w:pPr>
      <w:r w:rsidRPr="00F40DC6">
        <w:rPr>
          <w:b/>
          <w:bCs/>
        </w:rPr>
        <w:t>Dataset formatting:</w:t>
      </w:r>
      <w:r w:rsidRPr="00F40DC6">
        <w:t xml:space="preserve"> Enforce </w:t>
      </w:r>
      <w:r w:rsidRPr="00F40DC6">
        <w:rPr>
          <w:i/>
          <w:iCs/>
        </w:rPr>
        <w:t>no</w:t>
      </w:r>
      <w:r w:rsidRPr="00F40DC6">
        <w:t xml:space="preserve"> $ in prices and </w:t>
      </w:r>
      <w:r w:rsidRPr="00F40DC6">
        <w:rPr>
          <w:i/>
          <w:iCs/>
        </w:rPr>
        <w:t>no</w:t>
      </w:r>
      <w:r w:rsidRPr="00F40DC6">
        <w:t xml:space="preserve"> commas in volumes if students manually append rows.</w:t>
      </w:r>
    </w:p>
    <w:p w14:paraId="52B186E2" w14:textId="77777777" w:rsidR="00573BA6" w:rsidRPr="00F40DC6" w:rsidRDefault="00573BA6" w:rsidP="00573BA6">
      <w:pPr>
        <w:ind w:left="360"/>
      </w:pPr>
    </w:p>
    <w:p w14:paraId="498A7043" w14:textId="77777777" w:rsidR="00F40DC6" w:rsidRPr="00F40DC6" w:rsidRDefault="00000000" w:rsidP="00F40DC6">
      <w:r>
        <w:pict w14:anchorId="3A0E6661">
          <v:rect id="_x0000_i1028" style="width:0;height:1.5pt" o:hralign="center" o:hrstd="t" o:hr="t" fillcolor="#a0a0a0" stroked="f"/>
        </w:pict>
      </w:r>
    </w:p>
    <w:p w14:paraId="1AF5738A" w14:textId="77777777" w:rsidR="00D22936" w:rsidRDefault="00D22936" w:rsidP="00F40DC6">
      <w:pPr>
        <w:rPr>
          <w:b/>
          <w:bCs/>
        </w:rPr>
      </w:pPr>
    </w:p>
    <w:p w14:paraId="5F018CAF" w14:textId="6952723D" w:rsidR="00F40DC6" w:rsidRPr="00F40DC6" w:rsidRDefault="00F40DC6" w:rsidP="00F40DC6">
      <w:pPr>
        <w:rPr>
          <w:b/>
          <w:bCs/>
        </w:rPr>
      </w:pPr>
      <w:r w:rsidRPr="00F40DC6">
        <w:rPr>
          <w:b/>
          <w:bCs/>
        </w:rPr>
        <w:t>Lecture Topics (with Environment Tie-ins)</w:t>
      </w:r>
    </w:p>
    <w:p w14:paraId="607EA7FA" w14:textId="7E994AE3" w:rsidR="0091274E" w:rsidRPr="0091274E" w:rsidRDefault="0091274E" w:rsidP="0091274E">
      <w:pPr>
        <w:pStyle w:val="ListParagraph"/>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1274E">
        <w:rPr>
          <w:rFonts w:ascii="Times New Roman" w:eastAsia="Times New Roman" w:hAnsi="Times New Roman" w:cs="Times New Roman"/>
          <w:b/>
          <w:bCs/>
          <w:kern w:val="0"/>
          <w14:ligatures w14:val="none"/>
        </w:rPr>
        <w:t>Introduction to Time Series Forecasting — Key Points</w:t>
      </w:r>
    </w:p>
    <w:p w14:paraId="75FF08B2" w14:textId="77777777" w:rsidR="0091274E" w:rsidRPr="0091274E" w:rsidRDefault="0091274E" w:rsidP="0091274E">
      <w:pPr>
        <w:numPr>
          <w:ilvl w:val="0"/>
          <w:numId w:val="25"/>
        </w:numPr>
        <w:spacing w:before="100" w:beforeAutospacing="1" w:after="100" w:afterAutospacing="1" w:line="240" w:lineRule="auto"/>
        <w:rPr>
          <w:i/>
          <w:iCs/>
        </w:rPr>
      </w:pPr>
      <w:r w:rsidRPr="0091274E">
        <w:rPr>
          <w:b/>
          <w:bCs/>
        </w:rPr>
        <w:t>Definition:</w:t>
      </w:r>
      <w:r w:rsidRPr="0091274E">
        <w:rPr>
          <w:rFonts w:ascii="Times New Roman" w:eastAsia="Times New Roman" w:hAnsi="Times New Roman" w:cs="Times New Roman"/>
          <w:kern w:val="0"/>
          <w14:ligatures w14:val="none"/>
        </w:rPr>
        <w:t xml:space="preserve"> </w:t>
      </w:r>
      <w:r w:rsidRPr="0091274E">
        <w:rPr>
          <w:i/>
          <w:iCs/>
        </w:rPr>
        <w:t>Time series data consists of observations recorded in chronological order, where the sequence matters.</w:t>
      </w:r>
    </w:p>
    <w:p w14:paraId="53FD7D90" w14:textId="77777777" w:rsidR="0091274E" w:rsidRPr="0091274E" w:rsidRDefault="0091274E" w:rsidP="0091274E">
      <w:pPr>
        <w:numPr>
          <w:ilvl w:val="0"/>
          <w:numId w:val="25"/>
        </w:numPr>
        <w:spacing w:before="100" w:beforeAutospacing="1" w:after="100" w:afterAutospacing="1" w:line="240" w:lineRule="auto"/>
        <w:rPr>
          <w:i/>
          <w:iCs/>
        </w:rPr>
      </w:pPr>
      <w:r w:rsidRPr="0091274E">
        <w:rPr>
          <w:b/>
          <w:bCs/>
        </w:rPr>
        <w:t>Trend:</w:t>
      </w:r>
      <w:r w:rsidRPr="0091274E">
        <w:rPr>
          <w:rFonts w:ascii="Times New Roman" w:eastAsia="Times New Roman" w:hAnsi="Times New Roman" w:cs="Times New Roman"/>
          <w:kern w:val="0"/>
          <w14:ligatures w14:val="none"/>
        </w:rPr>
        <w:t xml:space="preserve"> </w:t>
      </w:r>
      <w:r w:rsidRPr="0091274E">
        <w:rPr>
          <w:i/>
          <w:iCs/>
        </w:rPr>
        <w:t>The long-term upward or downward movement in the data over time (e.g., steady stock price growth).</w:t>
      </w:r>
    </w:p>
    <w:p w14:paraId="3EC6E28B" w14:textId="77777777" w:rsidR="0091274E" w:rsidRPr="0091274E" w:rsidRDefault="0091274E" w:rsidP="0091274E">
      <w:pPr>
        <w:numPr>
          <w:ilvl w:val="0"/>
          <w:numId w:val="25"/>
        </w:numPr>
        <w:spacing w:before="100" w:beforeAutospacing="1" w:after="100" w:afterAutospacing="1" w:line="240" w:lineRule="auto"/>
        <w:rPr>
          <w:i/>
          <w:iCs/>
        </w:rPr>
      </w:pPr>
      <w:r w:rsidRPr="0091274E">
        <w:rPr>
          <w:b/>
          <w:bCs/>
        </w:rPr>
        <w:t>Seasonality:</w:t>
      </w:r>
      <w:r w:rsidRPr="0091274E">
        <w:rPr>
          <w:i/>
          <w:iCs/>
        </w:rPr>
        <w:t xml:space="preserve"> Regular, repeating patterns tied to time intervals (e.g., monthly sales peaks, quarterly cycles).</w:t>
      </w:r>
    </w:p>
    <w:p w14:paraId="6EEDB12E" w14:textId="77777777" w:rsidR="0091274E" w:rsidRPr="0091274E" w:rsidRDefault="0091274E" w:rsidP="0091274E">
      <w:pPr>
        <w:numPr>
          <w:ilvl w:val="0"/>
          <w:numId w:val="25"/>
        </w:numPr>
        <w:spacing w:before="100" w:beforeAutospacing="1" w:after="100" w:afterAutospacing="1" w:line="240" w:lineRule="auto"/>
        <w:rPr>
          <w:i/>
          <w:iCs/>
        </w:rPr>
      </w:pPr>
      <w:r w:rsidRPr="0091274E">
        <w:rPr>
          <w:b/>
          <w:bCs/>
        </w:rPr>
        <w:t>Noise:</w:t>
      </w:r>
      <w:r w:rsidRPr="0091274E">
        <w:rPr>
          <w:rFonts w:ascii="Times New Roman" w:eastAsia="Times New Roman" w:hAnsi="Times New Roman" w:cs="Times New Roman"/>
          <w:kern w:val="0"/>
          <w14:ligatures w14:val="none"/>
        </w:rPr>
        <w:t xml:space="preserve"> </w:t>
      </w:r>
      <w:r w:rsidRPr="0091274E">
        <w:rPr>
          <w:i/>
          <w:iCs/>
        </w:rPr>
        <w:t>Random, unpredictable fluctuations not explained by trend or seasonality (e.g., sudden market shocks).</w:t>
      </w:r>
    </w:p>
    <w:p w14:paraId="2FB324E1" w14:textId="77777777" w:rsidR="0091274E" w:rsidRPr="0091274E" w:rsidRDefault="0091274E" w:rsidP="0091274E">
      <w:pPr>
        <w:numPr>
          <w:ilvl w:val="0"/>
          <w:numId w:val="25"/>
        </w:numPr>
        <w:spacing w:before="100" w:beforeAutospacing="1" w:after="100" w:afterAutospacing="1" w:line="240" w:lineRule="auto"/>
        <w:rPr>
          <w:b/>
          <w:bCs/>
        </w:rPr>
      </w:pPr>
      <w:r w:rsidRPr="0091274E">
        <w:rPr>
          <w:b/>
          <w:bCs/>
        </w:rPr>
        <w:t>Why sequence models?</w:t>
      </w:r>
    </w:p>
    <w:p w14:paraId="069A8643" w14:textId="77777777" w:rsidR="0091274E" w:rsidRPr="0091274E" w:rsidRDefault="0091274E" w:rsidP="0091274E">
      <w:pPr>
        <w:numPr>
          <w:ilvl w:val="1"/>
          <w:numId w:val="25"/>
        </w:numPr>
        <w:spacing w:before="100" w:beforeAutospacing="1" w:after="100" w:afterAutospacing="1" w:line="240" w:lineRule="auto"/>
        <w:rPr>
          <w:i/>
          <w:iCs/>
        </w:rPr>
      </w:pPr>
      <w:r w:rsidRPr="0091274E">
        <w:rPr>
          <w:i/>
          <w:iCs/>
        </w:rPr>
        <w:t>They process data in order, retaining memory of previous steps.</w:t>
      </w:r>
    </w:p>
    <w:p w14:paraId="711D667E" w14:textId="77777777" w:rsidR="0091274E" w:rsidRPr="0091274E" w:rsidRDefault="0091274E" w:rsidP="0091274E">
      <w:pPr>
        <w:numPr>
          <w:ilvl w:val="1"/>
          <w:numId w:val="25"/>
        </w:numPr>
        <w:spacing w:before="100" w:beforeAutospacing="1" w:after="100" w:afterAutospacing="1" w:line="240" w:lineRule="auto"/>
        <w:rPr>
          <w:i/>
          <w:iCs/>
        </w:rPr>
      </w:pPr>
      <w:r w:rsidRPr="0091274E">
        <w:rPr>
          <w:i/>
          <w:iCs/>
        </w:rPr>
        <w:t>Models like LSTMs/GRUs capture temporal dependencies—how past values influence future predictions.</w:t>
      </w:r>
    </w:p>
    <w:p w14:paraId="0FF1EBC8" w14:textId="77777777" w:rsidR="0091274E" w:rsidRPr="0091274E" w:rsidRDefault="0091274E" w:rsidP="0091274E">
      <w:pPr>
        <w:numPr>
          <w:ilvl w:val="1"/>
          <w:numId w:val="25"/>
        </w:numPr>
        <w:spacing w:before="100" w:beforeAutospacing="1" w:after="100" w:afterAutospacing="1" w:line="240" w:lineRule="auto"/>
        <w:rPr>
          <w:i/>
          <w:iCs/>
        </w:rPr>
      </w:pPr>
      <w:r w:rsidRPr="0091274E">
        <w:rPr>
          <w:i/>
          <w:iCs/>
        </w:rPr>
        <w:t>They are well-suited for patterns where context over time impacts the outcome.</w:t>
      </w:r>
    </w:p>
    <w:p w14:paraId="4B2DB12A" w14:textId="7BDD3F79" w:rsidR="00F40DC6" w:rsidRDefault="00000000" w:rsidP="00F40DC6">
      <w:r>
        <w:pict w14:anchorId="557A6982">
          <v:rect id="_x0000_i1029" style="width:0;height:1.5pt" o:hralign="center" o:hrstd="t" o:hr="t" fillcolor="#a0a0a0" stroked="f"/>
        </w:pict>
      </w:r>
    </w:p>
    <w:p w14:paraId="4E6B12DF" w14:textId="77777777" w:rsidR="0091274E" w:rsidRPr="00F40DC6" w:rsidRDefault="0091274E" w:rsidP="00F40DC6"/>
    <w:p w14:paraId="7C869574" w14:textId="77777777" w:rsidR="0091274E" w:rsidRPr="0091274E" w:rsidRDefault="0091274E" w:rsidP="0091274E">
      <w:pPr>
        <w:rPr>
          <w:b/>
          <w:bCs/>
        </w:rPr>
      </w:pPr>
      <w:r w:rsidRPr="0091274E">
        <w:rPr>
          <w:b/>
          <w:bCs/>
        </w:rPr>
        <w:t>2. Dataset Exploration (NVIDIA Stock)</w:t>
      </w:r>
    </w:p>
    <w:p w14:paraId="52207E8C" w14:textId="77777777" w:rsidR="0091274E" w:rsidRPr="0091274E" w:rsidRDefault="0091274E" w:rsidP="0091274E">
      <w:pPr>
        <w:numPr>
          <w:ilvl w:val="0"/>
          <w:numId w:val="27"/>
        </w:numPr>
      </w:pPr>
      <w:r w:rsidRPr="0091274E">
        <w:t>EDA: Examine structure, column types, and descriptive statistics.</w:t>
      </w:r>
    </w:p>
    <w:p w14:paraId="43A3A0FE" w14:textId="77777777" w:rsidR="0091274E" w:rsidRPr="0091274E" w:rsidRDefault="0091274E" w:rsidP="0091274E">
      <w:pPr>
        <w:numPr>
          <w:ilvl w:val="0"/>
          <w:numId w:val="27"/>
        </w:numPr>
      </w:pPr>
      <w:r w:rsidRPr="0091274E">
        <w:t>Visualizations: Plot closing prices, volume, and trends to spot patterns.</w:t>
      </w:r>
    </w:p>
    <w:p w14:paraId="77640BD5" w14:textId="77777777" w:rsidR="0091274E" w:rsidRPr="0091274E" w:rsidRDefault="0091274E" w:rsidP="0091274E">
      <w:pPr>
        <w:numPr>
          <w:ilvl w:val="0"/>
          <w:numId w:val="27"/>
        </w:numPr>
      </w:pPr>
      <w:r w:rsidRPr="0091274E">
        <w:t>Missing values: Identify gaps or anomalies; decide whether to impute or drop them.</w:t>
      </w:r>
    </w:p>
    <w:p w14:paraId="5426E93B" w14:textId="77777777" w:rsidR="0091274E" w:rsidRPr="0091274E" w:rsidRDefault="0091274E" w:rsidP="0091274E">
      <w:pPr>
        <w:numPr>
          <w:ilvl w:val="0"/>
          <w:numId w:val="27"/>
        </w:numPr>
      </w:pPr>
      <w:r w:rsidRPr="0091274E">
        <w:t>Rolling means: Smooth short-term fluctuations to reveal underlying trends.</w:t>
      </w:r>
    </w:p>
    <w:p w14:paraId="73CE6A33" w14:textId="77777777" w:rsidR="0091274E" w:rsidRPr="0091274E" w:rsidRDefault="0091274E" w:rsidP="0091274E">
      <w:pPr>
        <w:numPr>
          <w:ilvl w:val="0"/>
          <w:numId w:val="27"/>
        </w:numPr>
      </w:pPr>
      <w:r w:rsidRPr="0091274E">
        <w:lastRenderedPageBreak/>
        <w:t>Formatting: Ensure no $ in prices and no commas in volumes to maintain CSV compatibility.</w:t>
      </w:r>
    </w:p>
    <w:p w14:paraId="50CD2AB3" w14:textId="77777777" w:rsidR="0091274E" w:rsidRPr="0091274E" w:rsidRDefault="0091274E" w:rsidP="0091274E">
      <w:pPr>
        <w:rPr>
          <w:b/>
          <w:bCs/>
        </w:rPr>
      </w:pPr>
      <w:r w:rsidRPr="0091274E">
        <w:rPr>
          <w:b/>
          <w:bCs/>
        </w:rPr>
        <w:t>3. Feature Engineering (Hands-On)</w:t>
      </w:r>
    </w:p>
    <w:p w14:paraId="69EBFEC0" w14:textId="77777777" w:rsidR="0091274E" w:rsidRPr="0091274E" w:rsidRDefault="0091274E" w:rsidP="0091274E">
      <w:pPr>
        <w:numPr>
          <w:ilvl w:val="0"/>
          <w:numId w:val="28"/>
        </w:numPr>
      </w:pPr>
      <w:r w:rsidRPr="0091274E">
        <w:t>Moving averages: Capture short-, medium-, and long-term trends (e.g., MA20, MA50, MA200).</w:t>
      </w:r>
    </w:p>
    <w:p w14:paraId="1D98F0E8" w14:textId="77777777" w:rsidR="0091274E" w:rsidRPr="0091274E" w:rsidRDefault="0091274E" w:rsidP="0091274E">
      <w:pPr>
        <w:numPr>
          <w:ilvl w:val="0"/>
          <w:numId w:val="28"/>
        </w:numPr>
      </w:pPr>
      <w:r w:rsidRPr="0091274E">
        <w:t>Volatility: Rolling standard deviation to measure variability.</w:t>
      </w:r>
    </w:p>
    <w:p w14:paraId="0F5EB001" w14:textId="77777777" w:rsidR="0091274E" w:rsidRPr="0091274E" w:rsidRDefault="0091274E" w:rsidP="0091274E">
      <w:pPr>
        <w:numPr>
          <w:ilvl w:val="0"/>
          <w:numId w:val="28"/>
        </w:numPr>
      </w:pPr>
      <w:r w:rsidRPr="0091274E">
        <w:t>Returns: Percentage change over various intervals to measure momentum.</w:t>
      </w:r>
    </w:p>
    <w:p w14:paraId="3E92C0EC" w14:textId="77777777" w:rsidR="0091274E" w:rsidRPr="0091274E" w:rsidRDefault="0091274E" w:rsidP="0091274E">
      <w:pPr>
        <w:numPr>
          <w:ilvl w:val="0"/>
          <w:numId w:val="28"/>
        </w:numPr>
      </w:pPr>
      <w:r w:rsidRPr="0091274E">
        <w:t>Bollinger Bands: Upper/lower bounds for price relative to volatility.</w:t>
      </w:r>
    </w:p>
    <w:p w14:paraId="1EFFFE2B" w14:textId="77777777" w:rsidR="0091274E" w:rsidRPr="0091274E" w:rsidRDefault="0091274E" w:rsidP="0091274E">
      <w:pPr>
        <w:numPr>
          <w:ilvl w:val="0"/>
          <w:numId w:val="28"/>
        </w:numPr>
      </w:pPr>
      <w:r w:rsidRPr="0091274E">
        <w:t>Clean dataset: Remove NaNs from rolling calculations and save for modeling.</w:t>
      </w:r>
    </w:p>
    <w:p w14:paraId="5DC688B1" w14:textId="77777777" w:rsidR="0091274E" w:rsidRPr="0091274E" w:rsidRDefault="0091274E" w:rsidP="0091274E">
      <w:pPr>
        <w:rPr>
          <w:b/>
          <w:bCs/>
        </w:rPr>
      </w:pPr>
      <w:r w:rsidRPr="0091274E">
        <w:rPr>
          <w:b/>
          <w:bCs/>
        </w:rPr>
        <w:t>4. Lookback Windows (Theory)</w:t>
      </w:r>
    </w:p>
    <w:p w14:paraId="2476DCAC" w14:textId="77777777" w:rsidR="0091274E" w:rsidRPr="0091274E" w:rsidRDefault="0091274E" w:rsidP="0091274E">
      <w:pPr>
        <w:numPr>
          <w:ilvl w:val="0"/>
          <w:numId w:val="29"/>
        </w:numPr>
      </w:pPr>
      <w:r w:rsidRPr="0091274E">
        <w:t>Definition: Number of past timesteps used to predict the next value.</w:t>
      </w:r>
    </w:p>
    <w:p w14:paraId="7EFC7B50" w14:textId="77777777" w:rsidR="0091274E" w:rsidRPr="0091274E" w:rsidRDefault="0091274E" w:rsidP="0091274E">
      <w:pPr>
        <w:numPr>
          <w:ilvl w:val="0"/>
          <w:numId w:val="29"/>
        </w:numPr>
      </w:pPr>
      <w:r w:rsidRPr="0091274E">
        <w:t>Purpose: Allows LSTM/GRU models to learn temporal dependencies from recent history.</w:t>
      </w:r>
    </w:p>
    <w:p w14:paraId="37139B2F" w14:textId="77777777" w:rsidR="0091274E" w:rsidRPr="0091274E" w:rsidRDefault="0091274E" w:rsidP="0091274E">
      <w:pPr>
        <w:numPr>
          <w:ilvl w:val="0"/>
          <w:numId w:val="29"/>
        </w:numPr>
      </w:pPr>
      <w:r w:rsidRPr="0091274E">
        <w:t>Trade-offs:</w:t>
      </w:r>
    </w:p>
    <w:p w14:paraId="06351BF1" w14:textId="77777777" w:rsidR="0091274E" w:rsidRPr="0091274E" w:rsidRDefault="0091274E" w:rsidP="0091274E">
      <w:pPr>
        <w:numPr>
          <w:ilvl w:val="1"/>
          <w:numId w:val="29"/>
        </w:numPr>
      </w:pPr>
      <w:r w:rsidRPr="0091274E">
        <w:t>Short lookback (e.g., 1–14 days): Faster training, captures immediate trends but may miss long-term patterns.</w:t>
      </w:r>
    </w:p>
    <w:p w14:paraId="3E7D9310" w14:textId="77777777" w:rsidR="0091274E" w:rsidRPr="0091274E" w:rsidRDefault="0091274E" w:rsidP="0091274E">
      <w:pPr>
        <w:numPr>
          <w:ilvl w:val="1"/>
          <w:numId w:val="29"/>
        </w:numPr>
      </w:pPr>
      <w:r w:rsidRPr="0091274E">
        <w:t>Long lookback (e.g., 180–365 days): Captures broader trends but increases model complexity and risk of overfitting.</w:t>
      </w:r>
    </w:p>
    <w:p w14:paraId="19D6367A" w14:textId="46CE6384" w:rsidR="0091274E" w:rsidRPr="0091274E" w:rsidRDefault="00000000" w:rsidP="0091274E">
      <w:pPr>
        <w:rPr>
          <w:b/>
          <w:bCs/>
        </w:rPr>
      </w:pPr>
      <w:r>
        <w:pict w14:anchorId="49F49394">
          <v:rect id="_x0000_i1030" style="width:0;height:1.5pt" o:hralign="center" o:hrstd="t" o:hr="t" fillcolor="#a0a0a0" stroked="f"/>
        </w:pict>
      </w:r>
    </w:p>
    <w:p w14:paraId="32F264C3" w14:textId="7CBFE4A7" w:rsidR="00F40DC6" w:rsidRPr="00F40DC6" w:rsidRDefault="00F40DC6" w:rsidP="00F40DC6">
      <w:pPr>
        <w:rPr>
          <w:b/>
          <w:bCs/>
        </w:rPr>
      </w:pPr>
      <w:r w:rsidRPr="00F40DC6">
        <w:rPr>
          <w:b/>
          <w:bCs/>
        </w:rPr>
        <w:t>Materials Needed</w:t>
      </w:r>
    </w:p>
    <w:p w14:paraId="181051C7" w14:textId="538B59BE" w:rsidR="00F40DC6" w:rsidRPr="00F40DC6" w:rsidRDefault="00F40DC6" w:rsidP="00F40DC6">
      <w:pPr>
        <w:numPr>
          <w:ilvl w:val="0"/>
          <w:numId w:val="17"/>
        </w:numPr>
      </w:pPr>
      <w:r w:rsidRPr="00F40DC6">
        <w:t xml:space="preserve">Week </w:t>
      </w:r>
      <w:r w:rsidR="008C46CE">
        <w:t>2</w:t>
      </w:r>
      <w:r w:rsidRPr="00F40DC6">
        <w:t xml:space="preserve"> Colab Notebook (to be distributed).</w:t>
      </w:r>
    </w:p>
    <w:p w14:paraId="451DF6F7" w14:textId="77777777" w:rsidR="00F40DC6" w:rsidRPr="00F40DC6" w:rsidRDefault="00F40DC6" w:rsidP="00F40DC6">
      <w:pPr>
        <w:numPr>
          <w:ilvl w:val="0"/>
          <w:numId w:val="17"/>
        </w:numPr>
      </w:pPr>
      <w:r w:rsidRPr="00F40DC6">
        <w:t>Optional: Slides on time series forecasting concepts.</w:t>
      </w:r>
    </w:p>
    <w:p w14:paraId="299839FF" w14:textId="77777777" w:rsidR="00F40DC6" w:rsidRPr="00F40DC6" w:rsidRDefault="00F40DC6" w:rsidP="00F40DC6">
      <w:pPr>
        <w:numPr>
          <w:ilvl w:val="0"/>
          <w:numId w:val="17"/>
        </w:numPr>
      </w:pPr>
      <w:r w:rsidRPr="00F40DC6">
        <w:t>License &amp; citation table (for reference and discussion).</w:t>
      </w:r>
    </w:p>
    <w:p w14:paraId="4FF5C46D" w14:textId="77777777" w:rsidR="00F40DC6" w:rsidRPr="00F40DC6" w:rsidRDefault="00F40DC6" w:rsidP="00F40DC6">
      <w:pPr>
        <w:numPr>
          <w:ilvl w:val="0"/>
          <w:numId w:val="17"/>
        </w:numPr>
      </w:pPr>
      <w:r w:rsidRPr="00F40DC6">
        <w:t>WSL2 + CUDA installation deck for Windows users (reference for local GPU workflows).</w:t>
      </w:r>
    </w:p>
    <w:p w14:paraId="227D6CCE" w14:textId="77777777" w:rsidR="00F40DC6" w:rsidRPr="00F40DC6" w:rsidRDefault="00000000" w:rsidP="00F40DC6">
      <w:r>
        <w:pict w14:anchorId="542E8B00">
          <v:rect id="_x0000_i1031" style="width:0;height:1.5pt" o:hralign="center" o:hrstd="t" o:hr="t" fillcolor="#a0a0a0" stroked="f"/>
        </w:pict>
      </w:r>
    </w:p>
    <w:p w14:paraId="40C3E132" w14:textId="7342DAB8" w:rsidR="00F40DC6" w:rsidRPr="00F40DC6" w:rsidRDefault="00F40DC6" w:rsidP="00F40DC6">
      <w:pPr>
        <w:rPr>
          <w:b/>
          <w:bCs/>
        </w:rPr>
      </w:pPr>
      <w:r w:rsidRPr="00F40DC6">
        <w:rPr>
          <w:b/>
          <w:bCs/>
        </w:rPr>
        <w:t>Lab Activities (</w:t>
      </w:r>
      <w:r w:rsidR="00B73B88">
        <w:rPr>
          <w:b/>
          <w:bCs/>
        </w:rPr>
        <w:t>NSMH_EDA_Feature_Engineering_Week1.ipynb using Google Colab</w:t>
      </w:r>
      <w:r w:rsidRPr="00F40DC6">
        <w:rPr>
          <w:b/>
          <w:bCs/>
        </w:rPr>
        <w:t>) — Code Walkthrough &amp; Rationale</w:t>
      </w:r>
    </w:p>
    <w:p w14:paraId="35A30425" w14:textId="7D7D23CE" w:rsidR="00F40DC6" w:rsidRPr="00F40DC6" w:rsidRDefault="00F40DC6" w:rsidP="00F40DC6">
      <w:r w:rsidRPr="00F40DC6">
        <w:lastRenderedPageBreak/>
        <w:t xml:space="preserve">Below is an instructor-facing explanation of each major code block from the Week </w:t>
      </w:r>
      <w:r w:rsidR="008C46CE">
        <w:t>2</w:t>
      </w:r>
      <w:r w:rsidRPr="00F40DC6">
        <w:t xml:space="preserve"> lab script. Use this to guide live walkthroughs and anticipate student questions.</w:t>
      </w:r>
    </w:p>
    <w:p w14:paraId="49E2D622" w14:textId="1EBE5D67" w:rsidR="00F40DC6" w:rsidRPr="00F40DC6" w:rsidRDefault="00F40DC6" w:rsidP="00F40DC6">
      <w:pPr>
        <w:pStyle w:val="ListParagraph"/>
        <w:numPr>
          <w:ilvl w:val="0"/>
          <w:numId w:val="23"/>
        </w:numPr>
        <w:rPr>
          <w:b/>
          <w:bCs/>
        </w:rPr>
      </w:pPr>
      <w:r w:rsidRPr="00F40DC6">
        <w:rPr>
          <w:b/>
          <w:bCs/>
        </w:rPr>
        <w:t>Environment &amp; Package Setup</w:t>
      </w:r>
    </w:p>
    <w:p w14:paraId="2E8AD29B" w14:textId="466820DA" w:rsidR="00F40DC6" w:rsidRPr="00F40DC6" w:rsidRDefault="00F40DC6" w:rsidP="00F40DC6">
      <w:pPr>
        <w:rPr>
          <w:b/>
          <w:bCs/>
        </w:rPr>
      </w:pPr>
      <w:r w:rsidRPr="00F40DC6">
        <w:rPr>
          <w:b/>
          <w:bCs/>
          <w:noProof/>
        </w:rPr>
        <w:drawing>
          <wp:inline distT="0" distB="0" distL="0" distR="0" wp14:anchorId="23C131C7" wp14:editId="219FEBB3">
            <wp:extent cx="5943600" cy="1073150"/>
            <wp:effectExtent l="0" t="0" r="0" b="0"/>
            <wp:docPr id="20042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0678" name=""/>
                    <pic:cNvPicPr/>
                  </pic:nvPicPr>
                  <pic:blipFill>
                    <a:blip r:embed="rId7"/>
                    <a:stretch>
                      <a:fillRect/>
                    </a:stretch>
                  </pic:blipFill>
                  <pic:spPr>
                    <a:xfrm>
                      <a:off x="0" y="0"/>
                      <a:ext cx="5943600" cy="1073150"/>
                    </a:xfrm>
                    <a:prstGeom prst="rect">
                      <a:avLst/>
                    </a:prstGeom>
                  </pic:spPr>
                </pic:pic>
              </a:graphicData>
            </a:graphic>
          </wp:inline>
        </w:drawing>
      </w:r>
    </w:p>
    <w:p w14:paraId="448819A9" w14:textId="2771358F" w:rsidR="00F40DC6" w:rsidRPr="00F40DC6" w:rsidRDefault="00F40DC6" w:rsidP="00F40DC6">
      <w:r w:rsidRPr="00F40DC6">
        <w:rPr>
          <w:b/>
          <w:bCs/>
        </w:rPr>
        <w:t>Why:</w:t>
      </w:r>
      <w:r w:rsidRPr="00F40DC6">
        <w:t xml:space="preserve"> Ensures a consistent, known-good set of binary wheels for TensorFlow and dependencies. Pinning versions reduces A</w:t>
      </w:r>
      <w:r w:rsidR="00B73B88">
        <w:t xml:space="preserve">pplication </w:t>
      </w:r>
      <w:r w:rsidRPr="00F40DC6">
        <w:t>B</w:t>
      </w:r>
      <w:r w:rsidR="00B73B88">
        <w:t xml:space="preserve">inary </w:t>
      </w:r>
      <w:r w:rsidRPr="00F40DC6">
        <w:t>I</w:t>
      </w:r>
      <w:r w:rsidR="00B73B88">
        <w:t>nterface</w:t>
      </w:r>
      <w:r w:rsidRPr="00F40DC6">
        <w:t xml:space="preserve"> conflicts (e.g., NumPy ↔ TF) and makes results reproducible across students. ipywidgets improves interactivity in Colab; scikit-learn provides scalers.</w:t>
      </w:r>
    </w:p>
    <w:p w14:paraId="344D436F" w14:textId="77777777" w:rsidR="00F40DC6" w:rsidRDefault="00000000" w:rsidP="00F40DC6">
      <w:r>
        <w:pict w14:anchorId="1897529F">
          <v:rect id="_x0000_i1032" style="width:0;height:1.5pt" o:hralign="center" o:hrstd="t" o:hr="t" fillcolor="#a0a0a0" stroked="f"/>
        </w:pict>
      </w:r>
    </w:p>
    <w:p w14:paraId="1320C767" w14:textId="55607CF2" w:rsidR="00F40DC6" w:rsidRPr="00F40DC6" w:rsidRDefault="00B73B88" w:rsidP="00F40DC6">
      <w:pPr>
        <w:pStyle w:val="ListParagraph"/>
        <w:numPr>
          <w:ilvl w:val="0"/>
          <w:numId w:val="23"/>
        </w:numPr>
        <w:rPr>
          <w:b/>
          <w:bCs/>
        </w:rPr>
      </w:pPr>
      <w:r>
        <w:rPr>
          <w:b/>
          <w:bCs/>
        </w:rPr>
        <w:t xml:space="preserve">Library and Modules </w:t>
      </w:r>
      <w:r w:rsidR="00F40DC6" w:rsidRPr="00F40DC6">
        <w:rPr>
          <w:b/>
          <w:bCs/>
        </w:rPr>
        <w:t>Imports and Version Diagnostics</w:t>
      </w:r>
    </w:p>
    <w:p w14:paraId="4EFC9855" w14:textId="59674270" w:rsidR="00F40DC6" w:rsidRPr="00F40DC6" w:rsidRDefault="00F40DC6" w:rsidP="00F40DC6">
      <w:pPr>
        <w:rPr>
          <w:b/>
          <w:bCs/>
        </w:rPr>
      </w:pPr>
      <w:r w:rsidRPr="00F40DC6">
        <w:rPr>
          <w:noProof/>
        </w:rPr>
        <w:drawing>
          <wp:inline distT="0" distB="0" distL="0" distR="0" wp14:anchorId="696CB819" wp14:editId="0A933A46">
            <wp:extent cx="5943600" cy="2959735"/>
            <wp:effectExtent l="0" t="0" r="0" b="0"/>
            <wp:docPr id="7638080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08076" name="Picture 1" descr="A screen shot of a computer&#10;&#10;AI-generated content may be incorrect."/>
                    <pic:cNvPicPr/>
                  </pic:nvPicPr>
                  <pic:blipFill>
                    <a:blip r:embed="rId8"/>
                    <a:stretch>
                      <a:fillRect/>
                    </a:stretch>
                  </pic:blipFill>
                  <pic:spPr>
                    <a:xfrm>
                      <a:off x="0" y="0"/>
                      <a:ext cx="5943600" cy="2959735"/>
                    </a:xfrm>
                    <a:prstGeom prst="rect">
                      <a:avLst/>
                    </a:prstGeom>
                  </pic:spPr>
                </pic:pic>
              </a:graphicData>
            </a:graphic>
          </wp:inline>
        </w:drawing>
      </w:r>
    </w:p>
    <w:p w14:paraId="3684FA97" w14:textId="71A636A3" w:rsidR="00F40DC6" w:rsidRPr="00F40DC6" w:rsidRDefault="00F40DC6" w:rsidP="00F40DC6">
      <w:r w:rsidRPr="00F40DC6">
        <w:rPr>
          <w:b/>
          <w:bCs/>
        </w:rPr>
        <w:t>Why:</w:t>
      </w:r>
      <w:r w:rsidRPr="00F40DC6">
        <w:t xml:space="preserve"> Quick smoke test </w:t>
      </w:r>
      <w:r w:rsidR="00B73B88">
        <w:t xml:space="preserve">to ensure </w:t>
      </w:r>
      <w:r w:rsidRPr="00F40DC6">
        <w:t>that expected versions are active. Early failure here saves time by surfacing environment issues before long training jobs.</w:t>
      </w:r>
    </w:p>
    <w:p w14:paraId="268E5324" w14:textId="77777777" w:rsidR="00F40DC6" w:rsidRDefault="00000000" w:rsidP="00F40DC6">
      <w:r>
        <w:pict w14:anchorId="00496C84">
          <v:rect id="_x0000_i1048" style="width:0;height:1.5pt" o:hralign="center" o:bullet="t" o:hrstd="t" o:hr="t" fillcolor="#a0a0a0" stroked="f"/>
        </w:pict>
      </w:r>
    </w:p>
    <w:p w14:paraId="02CE3F37" w14:textId="77777777" w:rsidR="008C46CE" w:rsidRDefault="008C46CE" w:rsidP="00F40DC6"/>
    <w:p w14:paraId="61E89792" w14:textId="77777777" w:rsidR="008C46CE" w:rsidRPr="00F40DC6" w:rsidRDefault="008C46CE" w:rsidP="00F40DC6"/>
    <w:p w14:paraId="77C2A718" w14:textId="5BDF9DD7" w:rsidR="00F40DC6" w:rsidRDefault="00F40DC6" w:rsidP="00F40DC6">
      <w:pPr>
        <w:pStyle w:val="ListParagraph"/>
        <w:numPr>
          <w:ilvl w:val="0"/>
          <w:numId w:val="23"/>
        </w:numPr>
        <w:rPr>
          <w:b/>
          <w:bCs/>
        </w:rPr>
      </w:pPr>
      <w:r w:rsidRPr="00F40DC6">
        <w:rPr>
          <w:b/>
          <w:bCs/>
        </w:rPr>
        <w:lastRenderedPageBreak/>
        <w:t>Mount Google Drive (Colab) &amp; Create Project Directory</w:t>
      </w:r>
    </w:p>
    <w:p w14:paraId="0B6B7B3B" w14:textId="7E289D9B" w:rsidR="00F40DC6" w:rsidRPr="00F40DC6" w:rsidRDefault="00F40DC6" w:rsidP="00F40DC6">
      <w:pPr>
        <w:rPr>
          <w:b/>
          <w:bCs/>
        </w:rPr>
      </w:pPr>
      <w:r w:rsidRPr="00F40DC6">
        <w:rPr>
          <w:b/>
          <w:bCs/>
          <w:noProof/>
        </w:rPr>
        <w:drawing>
          <wp:inline distT="0" distB="0" distL="0" distR="0" wp14:anchorId="7733392B" wp14:editId="2206916F">
            <wp:extent cx="5943600" cy="1397635"/>
            <wp:effectExtent l="0" t="0" r="0" b="0"/>
            <wp:docPr id="13615112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11226" name="Picture 1" descr="A screen shot of a computer program&#10;&#10;AI-generated content may be incorrect."/>
                    <pic:cNvPicPr/>
                  </pic:nvPicPr>
                  <pic:blipFill>
                    <a:blip r:embed="rId9"/>
                    <a:stretch>
                      <a:fillRect/>
                    </a:stretch>
                  </pic:blipFill>
                  <pic:spPr>
                    <a:xfrm>
                      <a:off x="0" y="0"/>
                      <a:ext cx="5943600" cy="1397635"/>
                    </a:xfrm>
                    <a:prstGeom prst="rect">
                      <a:avLst/>
                    </a:prstGeom>
                  </pic:spPr>
                </pic:pic>
              </a:graphicData>
            </a:graphic>
          </wp:inline>
        </w:drawing>
      </w:r>
    </w:p>
    <w:p w14:paraId="04C0FFFF" w14:textId="77777777" w:rsidR="00F40DC6" w:rsidRPr="00F40DC6" w:rsidRDefault="00F40DC6" w:rsidP="00F40DC6">
      <w:r w:rsidRPr="00F40DC6">
        <w:rPr>
          <w:b/>
          <w:bCs/>
        </w:rPr>
        <w:t>Why:</w:t>
      </w:r>
      <w:r w:rsidRPr="00F40DC6">
        <w:t xml:space="preserve"> Persist datasets, models, and plots across sessions. Encourages good project hygiene (clear base paths and artifact directories), which is essential for automated pipelines.</w:t>
      </w:r>
    </w:p>
    <w:p w14:paraId="7B299F04" w14:textId="77777777" w:rsidR="00F40DC6" w:rsidRDefault="00000000" w:rsidP="00F40DC6">
      <w:r>
        <w:pict w14:anchorId="1BD4B3C3">
          <v:rect id="_x0000_i1034" style="width:0;height:1.5pt" o:hralign="center" o:hrstd="t" o:hr="t" fillcolor="#a0a0a0" stroked="f"/>
        </w:pict>
      </w:r>
    </w:p>
    <w:p w14:paraId="44304F96" w14:textId="3795AB01" w:rsidR="00F40DC6" w:rsidRDefault="00F40DC6" w:rsidP="00F40DC6">
      <w:pPr>
        <w:pStyle w:val="ListParagraph"/>
        <w:numPr>
          <w:ilvl w:val="0"/>
          <w:numId w:val="23"/>
        </w:numPr>
        <w:rPr>
          <w:b/>
          <w:bCs/>
        </w:rPr>
      </w:pPr>
      <w:r w:rsidRPr="00F40DC6">
        <w:rPr>
          <w:b/>
          <w:bCs/>
        </w:rPr>
        <w:t>Dataset Upload &amp; Canonical Pathing</w:t>
      </w:r>
    </w:p>
    <w:p w14:paraId="12CCBF61" w14:textId="646B46CB" w:rsidR="00F40DC6" w:rsidRPr="00F40DC6" w:rsidRDefault="00F40DC6" w:rsidP="00F40DC6">
      <w:pPr>
        <w:rPr>
          <w:b/>
          <w:bCs/>
        </w:rPr>
      </w:pPr>
      <w:r w:rsidRPr="00F40DC6">
        <w:rPr>
          <w:b/>
          <w:bCs/>
          <w:noProof/>
        </w:rPr>
        <w:drawing>
          <wp:inline distT="0" distB="0" distL="0" distR="0" wp14:anchorId="0287C7D2" wp14:editId="465249D9">
            <wp:extent cx="5943600" cy="1795780"/>
            <wp:effectExtent l="0" t="0" r="0" b="0"/>
            <wp:docPr id="190031732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17321" name="Picture 1" descr="A computer screen shot of a computer code&#10;&#10;AI-generated content may be incorrect."/>
                    <pic:cNvPicPr/>
                  </pic:nvPicPr>
                  <pic:blipFill>
                    <a:blip r:embed="rId10"/>
                    <a:stretch>
                      <a:fillRect/>
                    </a:stretch>
                  </pic:blipFill>
                  <pic:spPr>
                    <a:xfrm>
                      <a:off x="0" y="0"/>
                      <a:ext cx="5943600" cy="1795780"/>
                    </a:xfrm>
                    <a:prstGeom prst="rect">
                      <a:avLst/>
                    </a:prstGeom>
                  </pic:spPr>
                </pic:pic>
              </a:graphicData>
            </a:graphic>
          </wp:inline>
        </w:drawing>
      </w:r>
    </w:p>
    <w:p w14:paraId="17ABDC14" w14:textId="22738180" w:rsidR="00F40DC6" w:rsidRPr="00F40DC6" w:rsidRDefault="00F40DC6" w:rsidP="00F40DC6">
      <w:r w:rsidRPr="00F40DC6">
        <w:rPr>
          <w:b/>
          <w:bCs/>
        </w:rPr>
        <w:t>Why:</w:t>
      </w:r>
      <w:r w:rsidRPr="00F40DC6">
        <w:t xml:space="preserve"> Normalizes the dataset location under the project directory. This also guarantees consistent paths for subsequent cells (important when scripting automation). Reinforce </w:t>
      </w:r>
      <w:r w:rsidRPr="00F40DC6">
        <w:rPr>
          <w:b/>
          <w:bCs/>
        </w:rPr>
        <w:t xml:space="preserve">no </w:t>
      </w:r>
      <w:r w:rsidR="00B73B88">
        <w:rPr>
          <w:b/>
          <w:bCs/>
        </w:rPr>
        <w:t>`$`</w:t>
      </w:r>
      <w:r w:rsidRPr="00F40DC6">
        <w:rPr>
          <w:b/>
          <w:bCs/>
        </w:rPr>
        <w:t xml:space="preserve"> in prices and no commas in volumes</w:t>
      </w:r>
      <w:r w:rsidRPr="00F40DC6">
        <w:t xml:space="preserve"> when students create/append data manually.</w:t>
      </w:r>
    </w:p>
    <w:p w14:paraId="3726BA17" w14:textId="77777777" w:rsidR="00F40DC6" w:rsidRDefault="00000000" w:rsidP="00F40DC6">
      <w:r>
        <w:pict w14:anchorId="4A00EEF9">
          <v:rect id="_x0000_i1035" style="width:0;height:1.5pt" o:hralign="center" o:hrstd="t" o:hr="t" fillcolor="#a0a0a0" stroked="f"/>
        </w:pict>
      </w:r>
    </w:p>
    <w:p w14:paraId="2465DD9E" w14:textId="5E523BBD" w:rsidR="001C0F5D" w:rsidRDefault="001C0F5D" w:rsidP="001C0F5D">
      <w:pPr>
        <w:pStyle w:val="ListParagraph"/>
        <w:numPr>
          <w:ilvl w:val="0"/>
          <w:numId w:val="23"/>
        </w:numPr>
        <w:rPr>
          <w:b/>
          <w:bCs/>
        </w:rPr>
      </w:pPr>
      <w:r w:rsidRPr="001C0F5D">
        <w:rPr>
          <w:b/>
          <w:bCs/>
        </w:rPr>
        <w:t>Verifying Project Directory Contents Before Pipeline Execution</w:t>
      </w:r>
    </w:p>
    <w:p w14:paraId="6F0134A2" w14:textId="5F236F67" w:rsidR="001C0F5D" w:rsidRDefault="001C0F5D" w:rsidP="001C0F5D">
      <w:pPr>
        <w:rPr>
          <w:b/>
          <w:bCs/>
        </w:rPr>
      </w:pPr>
      <w:r w:rsidRPr="001C0F5D">
        <w:rPr>
          <w:b/>
          <w:bCs/>
          <w:noProof/>
        </w:rPr>
        <w:drawing>
          <wp:inline distT="0" distB="0" distL="0" distR="0" wp14:anchorId="6D75ACF7" wp14:editId="1D3AAE73">
            <wp:extent cx="5943600" cy="436245"/>
            <wp:effectExtent l="0" t="0" r="0" b="1905"/>
            <wp:docPr id="179734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42916" name=""/>
                    <pic:cNvPicPr/>
                  </pic:nvPicPr>
                  <pic:blipFill>
                    <a:blip r:embed="rId11"/>
                    <a:stretch>
                      <a:fillRect/>
                    </a:stretch>
                  </pic:blipFill>
                  <pic:spPr>
                    <a:xfrm>
                      <a:off x="0" y="0"/>
                      <a:ext cx="5943600" cy="436245"/>
                    </a:xfrm>
                    <a:prstGeom prst="rect">
                      <a:avLst/>
                    </a:prstGeom>
                  </pic:spPr>
                </pic:pic>
              </a:graphicData>
            </a:graphic>
          </wp:inline>
        </w:drawing>
      </w:r>
    </w:p>
    <w:p w14:paraId="57F0048B" w14:textId="330BAD08" w:rsidR="001C0F5D" w:rsidRDefault="001C0F5D" w:rsidP="001C0F5D">
      <w:r w:rsidRPr="001C0F5D">
        <w:rPr>
          <w:b/>
          <w:bCs/>
        </w:rPr>
        <w:t xml:space="preserve">Why: </w:t>
      </w:r>
      <w:r w:rsidRPr="001C0F5D">
        <w:t>Lists the contents of the target Google Drive project directory in a readable format, allowing quick verification that required datasets and files are present before running preprocessing or training steps—essential for preventing file path errors and ensuring the pipeline starts with the correct inputs.</w:t>
      </w:r>
      <w:r w:rsidR="00000000">
        <w:pict w14:anchorId="4CCC19BC">
          <v:rect id="_x0000_i1036" style="width:0;height:1.5pt" o:hralign="center" o:hrstd="t" o:hr="t" fillcolor="#a0a0a0" stroked="f"/>
        </w:pict>
      </w:r>
    </w:p>
    <w:p w14:paraId="63BDE17D" w14:textId="2576F31A" w:rsidR="00F40DC6" w:rsidRPr="00F40DC6" w:rsidRDefault="00F40DC6" w:rsidP="00F40DC6">
      <w:pPr>
        <w:pStyle w:val="ListParagraph"/>
        <w:numPr>
          <w:ilvl w:val="0"/>
          <w:numId w:val="23"/>
        </w:numPr>
        <w:rPr>
          <w:b/>
          <w:bCs/>
        </w:rPr>
      </w:pPr>
      <w:r w:rsidRPr="00F40DC6">
        <w:rPr>
          <w:b/>
          <w:bCs/>
        </w:rPr>
        <w:lastRenderedPageBreak/>
        <w:t>Base Directories &amp; User Inputs</w:t>
      </w:r>
    </w:p>
    <w:p w14:paraId="71355125" w14:textId="1EF2260B" w:rsidR="00F40DC6" w:rsidRPr="00F40DC6" w:rsidRDefault="00B73B88" w:rsidP="00F40DC6">
      <w:pPr>
        <w:rPr>
          <w:b/>
          <w:bCs/>
        </w:rPr>
      </w:pPr>
      <w:r w:rsidRPr="00B73B88">
        <w:rPr>
          <w:b/>
          <w:bCs/>
          <w:noProof/>
        </w:rPr>
        <w:drawing>
          <wp:inline distT="0" distB="0" distL="0" distR="0" wp14:anchorId="4AAA3F73" wp14:editId="331FCF7F">
            <wp:extent cx="5943600" cy="2838450"/>
            <wp:effectExtent l="0" t="0" r="0" b="0"/>
            <wp:docPr id="2090459879" name="Picture 1" descr="A computer screen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59879" name="Picture 1" descr="A computer screen with white and green text&#10;&#10;AI-generated content may be incorrect."/>
                    <pic:cNvPicPr/>
                  </pic:nvPicPr>
                  <pic:blipFill>
                    <a:blip r:embed="rId12"/>
                    <a:stretch>
                      <a:fillRect/>
                    </a:stretch>
                  </pic:blipFill>
                  <pic:spPr>
                    <a:xfrm>
                      <a:off x="0" y="0"/>
                      <a:ext cx="5943600" cy="2838450"/>
                    </a:xfrm>
                    <a:prstGeom prst="rect">
                      <a:avLst/>
                    </a:prstGeom>
                  </pic:spPr>
                </pic:pic>
              </a:graphicData>
            </a:graphic>
          </wp:inline>
        </w:drawing>
      </w:r>
    </w:p>
    <w:p w14:paraId="660F35EE" w14:textId="77777777" w:rsidR="00F40DC6" w:rsidRPr="00F40DC6" w:rsidRDefault="00F40DC6" w:rsidP="00F40DC6">
      <w:r w:rsidRPr="00F40DC6">
        <w:rPr>
          <w:b/>
          <w:bCs/>
        </w:rPr>
        <w:t>Why:</w:t>
      </w:r>
      <w:r w:rsidRPr="00F40DC6">
        <w:t xml:space="preserve"> Parameterizes runs for automation (unique timestamped folders). lookback controls sequence length for LSTM/GRU inputs; naming ensures plots/weights don’t overwrite between experiments.</w:t>
      </w:r>
    </w:p>
    <w:p w14:paraId="6071649E" w14:textId="466AE535" w:rsidR="00F40DC6" w:rsidRDefault="00000000" w:rsidP="00F40DC6">
      <w:pPr>
        <w:rPr>
          <w:b/>
          <w:bCs/>
        </w:rPr>
      </w:pPr>
      <w:r>
        <w:pict w14:anchorId="20DC91FD">
          <v:rect id="_x0000_i1037" style="width:0;height:1.5pt" o:hralign="center" o:hrstd="t" o:hr="t" fillcolor="#a0a0a0" stroked="f"/>
        </w:pict>
      </w:r>
    </w:p>
    <w:p w14:paraId="1B5E333A" w14:textId="2AEE4EF4" w:rsidR="00F40DC6" w:rsidRPr="00F40DC6" w:rsidRDefault="00F40DC6" w:rsidP="00F40DC6">
      <w:pPr>
        <w:pStyle w:val="ListParagraph"/>
        <w:numPr>
          <w:ilvl w:val="0"/>
          <w:numId w:val="23"/>
        </w:numPr>
        <w:rPr>
          <w:b/>
          <w:bCs/>
        </w:rPr>
      </w:pPr>
      <w:r w:rsidRPr="00F40DC6">
        <w:rPr>
          <w:b/>
          <w:bCs/>
        </w:rPr>
        <w:t>Reproducibility Settings</w:t>
      </w:r>
    </w:p>
    <w:p w14:paraId="6F3DA4F5" w14:textId="3D3DA13D" w:rsidR="00F40DC6" w:rsidRPr="00F40DC6" w:rsidRDefault="00F40DC6" w:rsidP="00F40DC6">
      <w:pPr>
        <w:rPr>
          <w:b/>
          <w:bCs/>
        </w:rPr>
      </w:pPr>
      <w:r w:rsidRPr="00F40DC6">
        <w:rPr>
          <w:b/>
          <w:bCs/>
          <w:noProof/>
        </w:rPr>
        <w:drawing>
          <wp:inline distT="0" distB="0" distL="0" distR="0" wp14:anchorId="005F8498" wp14:editId="36FE9627">
            <wp:extent cx="5943600" cy="1229995"/>
            <wp:effectExtent l="0" t="0" r="0" b="8255"/>
            <wp:docPr id="43494948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49486" name="Picture 1" descr="A black screen with white text&#10;&#10;AI-generated content may be incorrect."/>
                    <pic:cNvPicPr/>
                  </pic:nvPicPr>
                  <pic:blipFill>
                    <a:blip r:embed="rId13"/>
                    <a:stretch>
                      <a:fillRect/>
                    </a:stretch>
                  </pic:blipFill>
                  <pic:spPr>
                    <a:xfrm>
                      <a:off x="0" y="0"/>
                      <a:ext cx="5943600" cy="1229995"/>
                    </a:xfrm>
                    <a:prstGeom prst="rect">
                      <a:avLst/>
                    </a:prstGeom>
                  </pic:spPr>
                </pic:pic>
              </a:graphicData>
            </a:graphic>
          </wp:inline>
        </w:drawing>
      </w:r>
    </w:p>
    <w:p w14:paraId="6420E08B" w14:textId="77777777" w:rsidR="00F40DC6" w:rsidRPr="00F40DC6" w:rsidRDefault="00F40DC6" w:rsidP="00F40DC6">
      <w:r w:rsidRPr="00F40DC6">
        <w:rPr>
          <w:b/>
          <w:bCs/>
        </w:rPr>
        <w:t>Why:</w:t>
      </w:r>
      <w:r w:rsidRPr="00F40DC6">
        <w:t xml:space="preserve"> Makes data shuffles, weight initializations, and some CUDA kernels deterministic, increasing repeatability of training/validation results—a must for fair comparisons across lookbacks and features.</w:t>
      </w:r>
    </w:p>
    <w:p w14:paraId="5C531FF1" w14:textId="77777777" w:rsidR="00F40DC6" w:rsidRDefault="00000000" w:rsidP="00F40DC6">
      <w:r>
        <w:pict w14:anchorId="48D94DFB">
          <v:rect id="_x0000_i1038" style="width:0;height:1.5pt" o:hralign="center" o:hrstd="t" o:hr="t" fillcolor="#a0a0a0" stroked="f"/>
        </w:pict>
      </w:r>
    </w:p>
    <w:p w14:paraId="5BCB4BE7" w14:textId="77777777" w:rsidR="00F40DC6" w:rsidRDefault="00F40DC6" w:rsidP="00F40DC6"/>
    <w:p w14:paraId="4978D0B8" w14:textId="78FA76ED" w:rsidR="00F40DC6" w:rsidRPr="008A14CC" w:rsidRDefault="00F40DC6" w:rsidP="00F40DC6">
      <w:pPr>
        <w:pStyle w:val="ListParagraph"/>
        <w:numPr>
          <w:ilvl w:val="0"/>
          <w:numId w:val="23"/>
        </w:numPr>
        <w:rPr>
          <w:b/>
          <w:bCs/>
        </w:rPr>
      </w:pPr>
      <w:r w:rsidRPr="008A14CC">
        <w:rPr>
          <w:b/>
          <w:bCs/>
        </w:rPr>
        <w:lastRenderedPageBreak/>
        <w:t>Load, Sort, and Feature Engineer</w:t>
      </w:r>
      <w:r w:rsidRPr="00F40DC6">
        <w:rPr>
          <w:b/>
          <w:bCs/>
          <w:noProof/>
        </w:rPr>
        <w:drawing>
          <wp:inline distT="0" distB="0" distL="0" distR="0" wp14:anchorId="07BA48C7" wp14:editId="18C83B9F">
            <wp:extent cx="5201376" cy="7830643"/>
            <wp:effectExtent l="0" t="0" r="0" b="0"/>
            <wp:docPr id="5485251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25109" name="Picture 1" descr="A screen shot of a computer program&#10;&#10;AI-generated content may be incorrect."/>
                    <pic:cNvPicPr/>
                  </pic:nvPicPr>
                  <pic:blipFill>
                    <a:blip r:embed="rId14"/>
                    <a:stretch>
                      <a:fillRect/>
                    </a:stretch>
                  </pic:blipFill>
                  <pic:spPr>
                    <a:xfrm>
                      <a:off x="0" y="0"/>
                      <a:ext cx="5201376" cy="7830643"/>
                    </a:xfrm>
                    <a:prstGeom prst="rect">
                      <a:avLst/>
                    </a:prstGeom>
                  </pic:spPr>
                </pic:pic>
              </a:graphicData>
            </a:graphic>
          </wp:inline>
        </w:drawing>
      </w:r>
    </w:p>
    <w:p w14:paraId="308C6DAB" w14:textId="77777777" w:rsidR="00F40DC6" w:rsidRPr="00F40DC6" w:rsidRDefault="00F40DC6" w:rsidP="00F40DC6">
      <w:r w:rsidRPr="00F40DC6">
        <w:rPr>
          <w:b/>
          <w:bCs/>
        </w:rPr>
        <w:lastRenderedPageBreak/>
        <w:t>Why:</w:t>
      </w:r>
    </w:p>
    <w:p w14:paraId="16581729" w14:textId="77777777" w:rsidR="00F40DC6" w:rsidRPr="00F40DC6" w:rsidRDefault="00F40DC6" w:rsidP="00F40DC6">
      <w:pPr>
        <w:numPr>
          <w:ilvl w:val="0"/>
          <w:numId w:val="18"/>
        </w:numPr>
      </w:pPr>
      <w:r w:rsidRPr="00F40DC6">
        <w:t>Sorting by time preserves causal order (no target leakage).</w:t>
      </w:r>
    </w:p>
    <w:p w14:paraId="4C7D31CC" w14:textId="77777777" w:rsidR="00F40DC6" w:rsidRPr="00F40DC6" w:rsidRDefault="00F40DC6" w:rsidP="00F40DC6">
      <w:pPr>
        <w:numPr>
          <w:ilvl w:val="0"/>
          <w:numId w:val="18"/>
        </w:numPr>
      </w:pPr>
      <w:r w:rsidRPr="00F40DC6">
        <w:t>Rolling statistics &amp; returns encode trend/volatility/momentum regimes the model can learn.</w:t>
      </w:r>
    </w:p>
    <w:p w14:paraId="79EC37E5" w14:textId="3E598554" w:rsidR="00F40DC6" w:rsidRPr="00F40DC6" w:rsidRDefault="00F40DC6" w:rsidP="00F40DC6">
      <w:pPr>
        <w:numPr>
          <w:ilvl w:val="0"/>
          <w:numId w:val="18"/>
        </w:numPr>
      </w:pPr>
      <w:r w:rsidRPr="00F40DC6">
        <w:t xml:space="preserve">injects </w:t>
      </w:r>
      <w:r w:rsidRPr="00D21B48">
        <w:t xml:space="preserve">an </w:t>
      </w:r>
      <w:r w:rsidRPr="00F40DC6">
        <w:t>immediate autoregressive signal; adds relative positioning within a local window.</w:t>
      </w:r>
    </w:p>
    <w:p w14:paraId="762955C2" w14:textId="238A9A43" w:rsidR="00F40DC6" w:rsidRDefault="00D21B48" w:rsidP="00F40DC6">
      <w:pPr>
        <w:numPr>
          <w:ilvl w:val="0"/>
          <w:numId w:val="18"/>
        </w:numPr>
      </w:pPr>
      <w:r>
        <w:t>`</w:t>
      </w:r>
      <w:r w:rsidRPr="00D21B48">
        <w:t>dropna()</w:t>
      </w:r>
      <w:r>
        <w:t>`</w:t>
      </w:r>
      <w:r w:rsidR="00F40DC6" w:rsidRPr="00F40DC6">
        <w:t>is required because rolling windows introduce missing values at sequence starts.</w:t>
      </w:r>
    </w:p>
    <w:p w14:paraId="64B694B6" w14:textId="74142F9E" w:rsidR="003117E0" w:rsidRDefault="003117E0" w:rsidP="003117E0">
      <w:pPr>
        <w:numPr>
          <w:ilvl w:val="1"/>
          <w:numId w:val="18"/>
        </w:numPr>
      </w:pPr>
      <w:r w:rsidRPr="003117E0">
        <w:t>When you use methods like:</w:t>
      </w:r>
    </w:p>
    <w:p w14:paraId="31A2623A" w14:textId="1A01E8FD" w:rsidR="003117E0" w:rsidRDefault="003117E0" w:rsidP="003117E0">
      <w:pPr>
        <w:numPr>
          <w:ilvl w:val="2"/>
          <w:numId w:val="18"/>
        </w:numPr>
      </w:pPr>
      <w:r w:rsidRPr="003117E0">
        <w:rPr>
          <w:noProof/>
        </w:rPr>
        <w:drawing>
          <wp:inline distT="0" distB="0" distL="0" distR="0" wp14:anchorId="5653E100" wp14:editId="6ED38BF6">
            <wp:extent cx="4115374" cy="552527"/>
            <wp:effectExtent l="0" t="0" r="0" b="0"/>
            <wp:docPr id="192011611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16111" name="Picture 1" descr="A black background with white text&#10;&#10;AI-generated content may be incorrect."/>
                    <pic:cNvPicPr/>
                  </pic:nvPicPr>
                  <pic:blipFill>
                    <a:blip r:embed="rId15"/>
                    <a:stretch>
                      <a:fillRect/>
                    </a:stretch>
                  </pic:blipFill>
                  <pic:spPr>
                    <a:xfrm>
                      <a:off x="0" y="0"/>
                      <a:ext cx="4115374" cy="552527"/>
                    </a:xfrm>
                    <a:prstGeom prst="rect">
                      <a:avLst/>
                    </a:prstGeom>
                  </pic:spPr>
                </pic:pic>
              </a:graphicData>
            </a:graphic>
          </wp:inline>
        </w:drawing>
      </w:r>
    </w:p>
    <w:p w14:paraId="471EBD4E" w14:textId="1BCAA8F8" w:rsidR="003117E0" w:rsidRPr="00F40DC6" w:rsidRDefault="003117E0" w:rsidP="003117E0">
      <w:pPr>
        <w:numPr>
          <w:ilvl w:val="2"/>
          <w:numId w:val="18"/>
        </w:numPr>
      </w:pPr>
      <w:r w:rsidRPr="003117E0">
        <w:t>the first 19 rows will have NaN values, because there aren’t enough prior data points to calculate a 20-period rolling mean yet.</w:t>
      </w:r>
    </w:p>
    <w:p w14:paraId="2ACBE033" w14:textId="77777777" w:rsidR="00F40DC6" w:rsidRPr="00F40DC6" w:rsidRDefault="00000000" w:rsidP="00F40DC6">
      <w:r>
        <w:pict w14:anchorId="5391836E">
          <v:rect id="_x0000_i1039" style="width:0;height:1.5pt" o:hralign="center" o:hrstd="t" o:hr="t" fillcolor="#a0a0a0" stroked="f"/>
        </w:pict>
      </w:r>
    </w:p>
    <w:p w14:paraId="6A64CD95" w14:textId="77777777" w:rsidR="00F40DC6" w:rsidRPr="00F40DC6" w:rsidRDefault="00F40DC6" w:rsidP="00F40DC6">
      <w:pPr>
        <w:rPr>
          <w:b/>
          <w:bCs/>
        </w:rPr>
      </w:pPr>
      <w:r w:rsidRPr="00F40DC6">
        <w:rPr>
          <w:b/>
          <w:bCs/>
        </w:rPr>
        <w:t>8) Feature Scaling (Per-Feature MinMax)</w:t>
      </w:r>
    </w:p>
    <w:p w14:paraId="12E1AA19" w14:textId="77777777" w:rsidR="005F60E0" w:rsidRDefault="005F60E0" w:rsidP="00F40DC6">
      <w:pPr>
        <w:rPr>
          <w:b/>
          <w:bCs/>
        </w:rPr>
      </w:pPr>
      <w:r w:rsidRPr="005F60E0">
        <w:rPr>
          <w:b/>
          <w:bCs/>
          <w:noProof/>
        </w:rPr>
        <w:drawing>
          <wp:inline distT="0" distB="0" distL="0" distR="0" wp14:anchorId="173B1D34" wp14:editId="18A6EC1A">
            <wp:extent cx="5943600" cy="1734185"/>
            <wp:effectExtent l="0" t="0" r="0" b="0"/>
            <wp:docPr id="5769832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83238" name="Picture 1" descr="A screenshot of a computer program&#10;&#10;AI-generated content may be incorrect."/>
                    <pic:cNvPicPr/>
                  </pic:nvPicPr>
                  <pic:blipFill>
                    <a:blip r:embed="rId16"/>
                    <a:stretch>
                      <a:fillRect/>
                    </a:stretch>
                  </pic:blipFill>
                  <pic:spPr>
                    <a:xfrm>
                      <a:off x="0" y="0"/>
                      <a:ext cx="5943600" cy="1734185"/>
                    </a:xfrm>
                    <a:prstGeom prst="rect">
                      <a:avLst/>
                    </a:prstGeom>
                  </pic:spPr>
                </pic:pic>
              </a:graphicData>
            </a:graphic>
          </wp:inline>
        </w:drawing>
      </w:r>
    </w:p>
    <w:p w14:paraId="2BF7D804" w14:textId="56BC5A51" w:rsidR="00F40DC6" w:rsidRPr="00F40DC6" w:rsidRDefault="00F40DC6" w:rsidP="00F40DC6">
      <w:r w:rsidRPr="00F40DC6">
        <w:rPr>
          <w:b/>
          <w:bCs/>
        </w:rPr>
        <w:t>Why:</w:t>
      </w:r>
      <w:r w:rsidRPr="00F40DC6">
        <w:t xml:space="preserve"> LSTMs/GRUs are sensitive to feature scale; per-feature scaling stabilizes training and speeds convergence. Storing each scaler enables inverse transforms later (e.g., mapping predictions back to price scale).</w:t>
      </w:r>
    </w:p>
    <w:p w14:paraId="5E26E9DE" w14:textId="77777777" w:rsidR="00F40DC6" w:rsidRPr="00F40DC6" w:rsidRDefault="00000000" w:rsidP="00F40DC6">
      <w:r>
        <w:pict w14:anchorId="106BE65C">
          <v:rect id="_x0000_i1040" style="width:0;height:1.5pt" o:hralign="center" o:hrstd="t" o:hr="t" fillcolor="#a0a0a0" stroked="f"/>
        </w:pict>
      </w:r>
    </w:p>
    <w:p w14:paraId="262DD2D0" w14:textId="77777777" w:rsidR="005F60E0" w:rsidRDefault="005F60E0" w:rsidP="00F40DC6">
      <w:pPr>
        <w:rPr>
          <w:b/>
          <w:bCs/>
        </w:rPr>
      </w:pPr>
    </w:p>
    <w:p w14:paraId="793EB4C0" w14:textId="77777777" w:rsidR="005F60E0" w:rsidRDefault="005F60E0" w:rsidP="00F40DC6">
      <w:pPr>
        <w:rPr>
          <w:b/>
          <w:bCs/>
        </w:rPr>
      </w:pPr>
    </w:p>
    <w:p w14:paraId="74009B4D" w14:textId="77777777" w:rsidR="005F60E0" w:rsidRDefault="005F60E0" w:rsidP="00F40DC6">
      <w:pPr>
        <w:rPr>
          <w:b/>
          <w:bCs/>
        </w:rPr>
      </w:pPr>
    </w:p>
    <w:p w14:paraId="20206F5E" w14:textId="159EB9A2" w:rsidR="005F60E0" w:rsidRPr="005F60E0" w:rsidRDefault="005F60E0" w:rsidP="005F60E0">
      <w:pPr>
        <w:rPr>
          <w:b/>
          <w:bCs/>
        </w:rPr>
      </w:pPr>
      <w:r>
        <w:rPr>
          <w:b/>
          <w:bCs/>
        </w:rPr>
        <w:lastRenderedPageBreak/>
        <w:t xml:space="preserve">9)  </w:t>
      </w:r>
      <w:r w:rsidRPr="005F60E0">
        <w:rPr>
          <w:b/>
          <w:bCs/>
        </w:rPr>
        <w:t>Create Supervised Sequences (Lookback → (X, y))</w:t>
      </w:r>
    </w:p>
    <w:p w14:paraId="23AD9339" w14:textId="608094C4" w:rsidR="005F60E0" w:rsidRPr="005F60E0" w:rsidRDefault="005F60E0" w:rsidP="005F60E0">
      <w:pPr>
        <w:rPr>
          <w:b/>
          <w:bCs/>
        </w:rPr>
      </w:pPr>
      <w:r w:rsidRPr="005F60E0">
        <w:rPr>
          <w:b/>
          <w:bCs/>
          <w:noProof/>
        </w:rPr>
        <w:drawing>
          <wp:inline distT="0" distB="0" distL="0" distR="0" wp14:anchorId="3FD801C3" wp14:editId="6A55F820">
            <wp:extent cx="5943600" cy="1211580"/>
            <wp:effectExtent l="0" t="0" r="0" b="7620"/>
            <wp:docPr id="195063561"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3561" name="Picture 1" descr="A computer screen shot of white text&#10;&#10;AI-generated content may be incorrect."/>
                    <pic:cNvPicPr/>
                  </pic:nvPicPr>
                  <pic:blipFill>
                    <a:blip r:embed="rId17"/>
                    <a:stretch>
                      <a:fillRect/>
                    </a:stretch>
                  </pic:blipFill>
                  <pic:spPr>
                    <a:xfrm>
                      <a:off x="0" y="0"/>
                      <a:ext cx="5943600" cy="1211580"/>
                    </a:xfrm>
                    <a:prstGeom prst="rect">
                      <a:avLst/>
                    </a:prstGeom>
                  </pic:spPr>
                </pic:pic>
              </a:graphicData>
            </a:graphic>
          </wp:inline>
        </w:drawing>
      </w:r>
    </w:p>
    <w:p w14:paraId="0E39F870" w14:textId="4CB8814F" w:rsidR="00F40DC6" w:rsidRPr="00F40DC6" w:rsidRDefault="00F40DC6" w:rsidP="00F40DC6">
      <w:r w:rsidRPr="00F40DC6">
        <w:rPr>
          <w:b/>
          <w:bCs/>
        </w:rPr>
        <w:t>Why:</w:t>
      </w:r>
      <w:r w:rsidRPr="00F40DC6">
        <w:t xml:space="preserve"> Transforms a univariate/ multivariate time series into supervised learning format for sequence models. Each training example is a </w:t>
      </w:r>
      <w:r w:rsidRPr="00F40DC6">
        <w:rPr>
          <w:b/>
          <w:bCs/>
        </w:rPr>
        <w:t>window</w:t>
      </w:r>
      <w:r w:rsidRPr="00F40DC6">
        <w:t xml:space="preserve"> of lookback timesteps; </w:t>
      </w:r>
      <w:r w:rsidR="005F60E0">
        <w:t xml:space="preserve">the </w:t>
      </w:r>
      <w:r w:rsidRPr="00F40DC6">
        <w:t>target is the next-step close. The first column in scaled_data is Close, so y aligns with the prediction target.</w:t>
      </w:r>
    </w:p>
    <w:p w14:paraId="60FC9343" w14:textId="77777777" w:rsidR="00F40DC6" w:rsidRPr="00F40DC6" w:rsidRDefault="00000000" w:rsidP="00F40DC6">
      <w:r>
        <w:pict w14:anchorId="16711145">
          <v:rect id="_x0000_i1041" style="width:0;height:1.5pt" o:hralign="center" o:hrstd="t" o:hr="t" fillcolor="#a0a0a0" stroked="f"/>
        </w:pict>
      </w:r>
    </w:p>
    <w:p w14:paraId="54AA627B" w14:textId="77777777" w:rsidR="00F40DC6" w:rsidRDefault="00F40DC6" w:rsidP="00F40DC6">
      <w:pPr>
        <w:rPr>
          <w:b/>
          <w:bCs/>
        </w:rPr>
      </w:pPr>
      <w:r w:rsidRPr="00F40DC6">
        <w:rPr>
          <w:b/>
          <w:bCs/>
        </w:rPr>
        <w:t>10) Temporal Train/Val/Test Split</w:t>
      </w:r>
    </w:p>
    <w:p w14:paraId="20D246CD" w14:textId="45D4E1B0" w:rsidR="005F60E0" w:rsidRPr="00F40DC6" w:rsidRDefault="005F60E0" w:rsidP="00F40DC6">
      <w:pPr>
        <w:rPr>
          <w:b/>
          <w:bCs/>
        </w:rPr>
      </w:pPr>
      <w:r w:rsidRPr="005F60E0">
        <w:rPr>
          <w:b/>
          <w:bCs/>
          <w:noProof/>
        </w:rPr>
        <w:drawing>
          <wp:inline distT="0" distB="0" distL="0" distR="0" wp14:anchorId="12E30491" wp14:editId="2CCBEE1A">
            <wp:extent cx="5943600" cy="1222375"/>
            <wp:effectExtent l="0" t="0" r="0" b="0"/>
            <wp:docPr id="203002152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1526" name="Picture 1" descr="A computer screen shot of a black screen&#10;&#10;AI-generated content may be incorrect."/>
                    <pic:cNvPicPr/>
                  </pic:nvPicPr>
                  <pic:blipFill>
                    <a:blip r:embed="rId18"/>
                    <a:stretch>
                      <a:fillRect/>
                    </a:stretch>
                  </pic:blipFill>
                  <pic:spPr>
                    <a:xfrm>
                      <a:off x="0" y="0"/>
                      <a:ext cx="5943600" cy="1222375"/>
                    </a:xfrm>
                    <a:prstGeom prst="rect">
                      <a:avLst/>
                    </a:prstGeom>
                  </pic:spPr>
                </pic:pic>
              </a:graphicData>
            </a:graphic>
          </wp:inline>
        </w:drawing>
      </w:r>
    </w:p>
    <w:p w14:paraId="0172ED79" w14:textId="41CD7D6C" w:rsidR="00F40DC6" w:rsidRPr="00F40DC6" w:rsidRDefault="00F40DC6" w:rsidP="00F40DC6">
      <w:r w:rsidRPr="00F40DC6">
        <w:rPr>
          <w:b/>
          <w:bCs/>
        </w:rPr>
        <w:t>Why:</w:t>
      </w:r>
      <w:r w:rsidRPr="00F40DC6">
        <w:t xml:space="preserve"> Preserves time order (no shuffling) to mimic real-world forecasting</w:t>
      </w:r>
      <w:r w:rsidR="00D21B48">
        <w:t>,</w:t>
      </w:r>
      <w:r w:rsidRPr="00F40DC6">
        <w:t xml:space="preserve"> where future data isn’t visible during training. The 70/20/10 split supports hyperparameter tuning on validation and truly unseen evaluation on the test set.</w:t>
      </w:r>
    </w:p>
    <w:p w14:paraId="310CDED9" w14:textId="77777777" w:rsidR="00F40DC6" w:rsidRPr="00F40DC6" w:rsidRDefault="00F40DC6" w:rsidP="00F40DC6">
      <w:r w:rsidRPr="00F40DC6">
        <w:rPr>
          <w:b/>
          <w:bCs/>
        </w:rPr>
        <w:t>Instructor Tip:</w:t>
      </w:r>
      <w:r w:rsidRPr="00F40DC6">
        <w:t xml:space="preserve"> Emphasize that </w:t>
      </w:r>
      <w:r w:rsidRPr="00F40DC6">
        <w:rPr>
          <w:i/>
          <w:iCs/>
        </w:rPr>
        <w:t>random shuffles break temporal causality</w:t>
      </w:r>
      <w:r w:rsidRPr="00F40DC6">
        <w:t>. If students need balanced splits, use contiguous blocks or rolling-origin evaluation.</w:t>
      </w:r>
    </w:p>
    <w:p w14:paraId="55CE04E5" w14:textId="77777777" w:rsidR="00F40DC6" w:rsidRPr="00F40DC6" w:rsidRDefault="00000000" w:rsidP="00F40DC6">
      <w:r>
        <w:pict w14:anchorId="0AB0403D">
          <v:rect id="_x0000_i1042" style="width:0;height:1.5pt" o:hralign="center" o:hrstd="t" o:hr="t" fillcolor="#a0a0a0" stroked="f"/>
        </w:pict>
      </w:r>
    </w:p>
    <w:p w14:paraId="2EE753A7" w14:textId="5336E8DB" w:rsidR="00F40DC6" w:rsidRDefault="00F40DC6" w:rsidP="00F40DC6">
      <w:pPr>
        <w:rPr>
          <w:b/>
          <w:bCs/>
        </w:rPr>
      </w:pPr>
      <w:r w:rsidRPr="00F40DC6">
        <w:rPr>
          <w:b/>
          <w:bCs/>
        </w:rPr>
        <w:t>Ethics &amp;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1125"/>
        <w:gridCol w:w="515"/>
        <w:gridCol w:w="1169"/>
        <w:gridCol w:w="942"/>
        <w:gridCol w:w="4161"/>
      </w:tblGrid>
      <w:tr w:rsidR="000C671E" w:rsidRPr="000C671E" w14:paraId="41D8B901" w14:textId="77777777">
        <w:trPr>
          <w:tblHeader/>
          <w:tblCellSpacing w:w="15" w:type="dxa"/>
        </w:trPr>
        <w:tc>
          <w:tcPr>
            <w:tcW w:w="0" w:type="auto"/>
            <w:vAlign w:val="center"/>
            <w:hideMark/>
          </w:tcPr>
          <w:p w14:paraId="57C10423" w14:textId="77777777" w:rsidR="000C671E" w:rsidRPr="000C671E" w:rsidRDefault="000C671E" w:rsidP="000C671E">
            <w:pPr>
              <w:rPr>
                <w:b/>
                <w:bCs/>
              </w:rPr>
            </w:pPr>
            <w:r w:rsidRPr="000C671E">
              <w:rPr>
                <w:b/>
                <w:bCs/>
              </w:rPr>
              <w:t>Component</w:t>
            </w:r>
          </w:p>
        </w:tc>
        <w:tc>
          <w:tcPr>
            <w:tcW w:w="0" w:type="auto"/>
            <w:vAlign w:val="center"/>
            <w:hideMark/>
          </w:tcPr>
          <w:p w14:paraId="22C89C24" w14:textId="77777777" w:rsidR="000C671E" w:rsidRPr="000C671E" w:rsidRDefault="000C671E" w:rsidP="000C671E">
            <w:pPr>
              <w:rPr>
                <w:b/>
                <w:bCs/>
              </w:rPr>
            </w:pPr>
            <w:r w:rsidRPr="000C671E">
              <w:rPr>
                <w:b/>
                <w:bCs/>
              </w:rPr>
              <w:t>Source</w:t>
            </w:r>
          </w:p>
        </w:tc>
        <w:tc>
          <w:tcPr>
            <w:tcW w:w="0" w:type="auto"/>
            <w:vAlign w:val="center"/>
            <w:hideMark/>
          </w:tcPr>
          <w:p w14:paraId="051ADA5D" w14:textId="77777777" w:rsidR="000C671E" w:rsidRPr="000C671E" w:rsidRDefault="000C671E" w:rsidP="000C671E">
            <w:pPr>
              <w:rPr>
                <w:b/>
                <w:bCs/>
              </w:rPr>
            </w:pPr>
            <w:r w:rsidRPr="000C671E">
              <w:rPr>
                <w:b/>
                <w:bCs/>
              </w:rPr>
              <w:t>URL</w:t>
            </w:r>
          </w:p>
        </w:tc>
        <w:tc>
          <w:tcPr>
            <w:tcW w:w="0" w:type="auto"/>
            <w:vAlign w:val="center"/>
            <w:hideMark/>
          </w:tcPr>
          <w:p w14:paraId="7237C79F" w14:textId="77777777" w:rsidR="000C671E" w:rsidRPr="000C671E" w:rsidRDefault="000C671E" w:rsidP="000C671E">
            <w:pPr>
              <w:rPr>
                <w:b/>
                <w:bCs/>
              </w:rPr>
            </w:pPr>
            <w:r w:rsidRPr="000C671E">
              <w:rPr>
                <w:b/>
                <w:bCs/>
              </w:rPr>
              <w:t>License</w:t>
            </w:r>
          </w:p>
        </w:tc>
        <w:tc>
          <w:tcPr>
            <w:tcW w:w="0" w:type="auto"/>
            <w:vAlign w:val="center"/>
            <w:hideMark/>
          </w:tcPr>
          <w:p w14:paraId="60F2148C" w14:textId="77777777" w:rsidR="000C671E" w:rsidRPr="000C671E" w:rsidRDefault="000C671E" w:rsidP="000C671E">
            <w:pPr>
              <w:rPr>
                <w:b/>
                <w:bCs/>
              </w:rPr>
            </w:pPr>
            <w:r w:rsidRPr="000C671E">
              <w:rPr>
                <w:b/>
                <w:bCs/>
              </w:rPr>
              <w:t>License URL</w:t>
            </w:r>
          </w:p>
        </w:tc>
        <w:tc>
          <w:tcPr>
            <w:tcW w:w="0" w:type="auto"/>
            <w:vAlign w:val="center"/>
            <w:hideMark/>
          </w:tcPr>
          <w:p w14:paraId="420B2D61" w14:textId="77777777" w:rsidR="000C671E" w:rsidRPr="000C671E" w:rsidRDefault="000C671E" w:rsidP="000C671E">
            <w:pPr>
              <w:rPr>
                <w:b/>
                <w:bCs/>
              </w:rPr>
            </w:pPr>
            <w:r w:rsidRPr="000C671E">
              <w:rPr>
                <w:b/>
                <w:bCs/>
              </w:rPr>
              <w:t>Notes</w:t>
            </w:r>
          </w:p>
        </w:tc>
      </w:tr>
      <w:tr w:rsidR="000C671E" w:rsidRPr="000C671E" w14:paraId="5B41F512" w14:textId="77777777">
        <w:trPr>
          <w:tblCellSpacing w:w="15" w:type="dxa"/>
        </w:trPr>
        <w:tc>
          <w:tcPr>
            <w:tcW w:w="0" w:type="auto"/>
            <w:vAlign w:val="center"/>
            <w:hideMark/>
          </w:tcPr>
          <w:p w14:paraId="323E423E" w14:textId="77777777" w:rsidR="000C671E" w:rsidRPr="000C671E" w:rsidRDefault="000C671E" w:rsidP="000C671E">
            <w:pPr>
              <w:rPr>
                <w:b/>
                <w:bCs/>
              </w:rPr>
            </w:pPr>
            <w:r w:rsidRPr="000C671E">
              <w:rPr>
                <w:b/>
                <w:bCs/>
              </w:rPr>
              <w:t>NVIDIA Stock Dataset</w:t>
            </w:r>
          </w:p>
        </w:tc>
        <w:tc>
          <w:tcPr>
            <w:tcW w:w="0" w:type="auto"/>
            <w:vAlign w:val="center"/>
            <w:hideMark/>
          </w:tcPr>
          <w:p w14:paraId="19800710" w14:textId="77777777" w:rsidR="000C671E" w:rsidRPr="000C671E" w:rsidRDefault="000C671E" w:rsidP="000C671E">
            <w:pPr>
              <w:rPr>
                <w:b/>
                <w:bCs/>
              </w:rPr>
            </w:pPr>
            <w:r w:rsidRPr="000C671E">
              <w:rPr>
                <w:b/>
                <w:bCs/>
              </w:rPr>
              <w:t>Kaggle - Adil Shamim</w:t>
            </w:r>
          </w:p>
        </w:tc>
        <w:tc>
          <w:tcPr>
            <w:tcW w:w="0" w:type="auto"/>
            <w:vAlign w:val="center"/>
            <w:hideMark/>
          </w:tcPr>
          <w:p w14:paraId="5F9BAFAD" w14:textId="77777777" w:rsidR="000C671E" w:rsidRPr="000C671E" w:rsidRDefault="000C671E" w:rsidP="000C671E">
            <w:pPr>
              <w:rPr>
                <w:b/>
                <w:bCs/>
              </w:rPr>
            </w:pPr>
            <w:hyperlink r:id="rId19" w:history="1">
              <w:r w:rsidRPr="000C671E">
                <w:rPr>
                  <w:rStyle w:val="Hyperlink"/>
                  <w:b/>
                  <w:bCs/>
                </w:rPr>
                <w:t>Link</w:t>
              </w:r>
            </w:hyperlink>
          </w:p>
        </w:tc>
        <w:tc>
          <w:tcPr>
            <w:tcW w:w="0" w:type="auto"/>
            <w:vAlign w:val="center"/>
            <w:hideMark/>
          </w:tcPr>
          <w:p w14:paraId="72AF68E5" w14:textId="77777777" w:rsidR="000C671E" w:rsidRPr="000C671E" w:rsidRDefault="000C671E" w:rsidP="000C671E">
            <w:pPr>
              <w:rPr>
                <w:b/>
                <w:bCs/>
              </w:rPr>
            </w:pPr>
            <w:r w:rsidRPr="000C671E">
              <w:rPr>
                <w:b/>
                <w:bCs/>
              </w:rPr>
              <w:t>CC0 1.0 Universal</w:t>
            </w:r>
          </w:p>
        </w:tc>
        <w:tc>
          <w:tcPr>
            <w:tcW w:w="0" w:type="auto"/>
            <w:vAlign w:val="center"/>
            <w:hideMark/>
          </w:tcPr>
          <w:p w14:paraId="4E580C5B" w14:textId="77777777" w:rsidR="000C671E" w:rsidRPr="000C671E" w:rsidRDefault="000C671E" w:rsidP="000C671E">
            <w:pPr>
              <w:rPr>
                <w:b/>
                <w:bCs/>
              </w:rPr>
            </w:pPr>
            <w:hyperlink r:id="rId20" w:history="1">
              <w:r w:rsidRPr="000C671E">
                <w:rPr>
                  <w:rStyle w:val="Hyperlink"/>
                  <w:b/>
                  <w:bCs/>
                </w:rPr>
                <w:t>Link</w:t>
              </w:r>
            </w:hyperlink>
          </w:p>
        </w:tc>
        <w:tc>
          <w:tcPr>
            <w:tcW w:w="0" w:type="auto"/>
            <w:vAlign w:val="center"/>
            <w:hideMark/>
          </w:tcPr>
          <w:p w14:paraId="22DEDFF1" w14:textId="6F20F906" w:rsidR="000C671E" w:rsidRPr="000C671E" w:rsidRDefault="000C671E" w:rsidP="000C671E">
            <w:pPr>
              <w:rPr>
                <w:b/>
                <w:bCs/>
              </w:rPr>
            </w:pPr>
            <w:r w:rsidRPr="000C671E">
              <w:rPr>
                <w:b/>
                <w:bCs/>
              </w:rPr>
              <w:t xml:space="preserve">Used for time series forecasting. </w:t>
            </w:r>
            <w:r w:rsidR="00E35BFA">
              <w:rPr>
                <w:b/>
                <w:bCs/>
              </w:rPr>
              <w:t>The dataset</w:t>
            </w:r>
            <w:r w:rsidRPr="000C671E">
              <w:rPr>
                <w:b/>
                <w:bCs/>
              </w:rPr>
              <w:t xml:space="preserve"> is in the public domain and free to use.</w:t>
            </w:r>
          </w:p>
        </w:tc>
      </w:tr>
      <w:tr w:rsidR="000C671E" w:rsidRPr="000C671E" w14:paraId="17459E12" w14:textId="77777777">
        <w:trPr>
          <w:tblCellSpacing w:w="15" w:type="dxa"/>
        </w:trPr>
        <w:tc>
          <w:tcPr>
            <w:tcW w:w="0" w:type="auto"/>
            <w:vAlign w:val="center"/>
            <w:hideMark/>
          </w:tcPr>
          <w:p w14:paraId="0C638930" w14:textId="77777777" w:rsidR="000C671E" w:rsidRPr="000C671E" w:rsidRDefault="000C671E" w:rsidP="000C671E">
            <w:pPr>
              <w:rPr>
                <w:b/>
                <w:bCs/>
              </w:rPr>
            </w:pPr>
            <w:r w:rsidRPr="000C671E">
              <w:rPr>
                <w:b/>
                <w:bCs/>
              </w:rPr>
              <w:lastRenderedPageBreak/>
              <w:t>FinBERT</w:t>
            </w:r>
          </w:p>
        </w:tc>
        <w:tc>
          <w:tcPr>
            <w:tcW w:w="0" w:type="auto"/>
            <w:vAlign w:val="center"/>
            <w:hideMark/>
          </w:tcPr>
          <w:p w14:paraId="61929B27" w14:textId="77777777" w:rsidR="000C671E" w:rsidRPr="000C671E" w:rsidRDefault="000C671E" w:rsidP="000C671E">
            <w:pPr>
              <w:rPr>
                <w:b/>
                <w:bCs/>
              </w:rPr>
            </w:pPr>
            <w:r w:rsidRPr="000C671E">
              <w:rPr>
                <w:b/>
                <w:bCs/>
              </w:rPr>
              <w:t>ProsusAI</w:t>
            </w:r>
          </w:p>
        </w:tc>
        <w:tc>
          <w:tcPr>
            <w:tcW w:w="0" w:type="auto"/>
            <w:vAlign w:val="center"/>
            <w:hideMark/>
          </w:tcPr>
          <w:p w14:paraId="50570128" w14:textId="77777777" w:rsidR="000C671E" w:rsidRPr="000C671E" w:rsidRDefault="000C671E" w:rsidP="000C671E">
            <w:pPr>
              <w:rPr>
                <w:b/>
                <w:bCs/>
              </w:rPr>
            </w:pPr>
            <w:hyperlink r:id="rId21" w:history="1">
              <w:r w:rsidRPr="000C671E">
                <w:rPr>
                  <w:rStyle w:val="Hyperlink"/>
                  <w:b/>
                  <w:bCs/>
                </w:rPr>
                <w:t>Link</w:t>
              </w:r>
            </w:hyperlink>
          </w:p>
        </w:tc>
        <w:tc>
          <w:tcPr>
            <w:tcW w:w="0" w:type="auto"/>
            <w:vAlign w:val="center"/>
            <w:hideMark/>
          </w:tcPr>
          <w:p w14:paraId="34D43B24" w14:textId="77777777" w:rsidR="000C671E" w:rsidRPr="000C671E" w:rsidRDefault="000C671E" w:rsidP="000C671E">
            <w:pPr>
              <w:rPr>
                <w:b/>
                <w:bCs/>
              </w:rPr>
            </w:pPr>
            <w:r w:rsidRPr="000C671E">
              <w:rPr>
                <w:b/>
                <w:bCs/>
              </w:rPr>
              <w:t>Apache License 2.0</w:t>
            </w:r>
          </w:p>
        </w:tc>
        <w:tc>
          <w:tcPr>
            <w:tcW w:w="0" w:type="auto"/>
            <w:vAlign w:val="center"/>
            <w:hideMark/>
          </w:tcPr>
          <w:p w14:paraId="4CEDA53A" w14:textId="77777777" w:rsidR="000C671E" w:rsidRPr="000C671E" w:rsidRDefault="000C671E" w:rsidP="000C671E">
            <w:pPr>
              <w:rPr>
                <w:b/>
                <w:bCs/>
              </w:rPr>
            </w:pPr>
            <w:hyperlink r:id="rId22" w:history="1">
              <w:r w:rsidRPr="000C671E">
                <w:rPr>
                  <w:rStyle w:val="Hyperlink"/>
                  <w:b/>
                  <w:bCs/>
                </w:rPr>
                <w:t>Link</w:t>
              </w:r>
            </w:hyperlink>
          </w:p>
        </w:tc>
        <w:tc>
          <w:tcPr>
            <w:tcW w:w="0" w:type="auto"/>
            <w:vAlign w:val="center"/>
            <w:hideMark/>
          </w:tcPr>
          <w:p w14:paraId="53E8710B" w14:textId="77777777" w:rsidR="000C671E" w:rsidRPr="000C671E" w:rsidRDefault="000C671E" w:rsidP="000C671E">
            <w:pPr>
              <w:rPr>
                <w:b/>
                <w:bCs/>
              </w:rPr>
            </w:pPr>
            <w:r w:rsidRPr="000C671E">
              <w:rPr>
                <w:b/>
                <w:bCs/>
              </w:rPr>
              <w:t>Not an official Prosus product. Result of an intern research project. Contact: Dogu Araci (</w:t>
            </w:r>
            <w:hyperlink r:id="rId23" w:history="1">
              <w:r w:rsidRPr="000C671E">
                <w:rPr>
                  <w:rStyle w:val="Hyperlink"/>
                  <w:b/>
                  <w:bCs/>
                </w:rPr>
                <w:t>dogu.araci@prosus.com</w:t>
              </w:r>
            </w:hyperlink>
            <w:r w:rsidRPr="000C671E">
              <w:rPr>
                <w:b/>
                <w:bCs/>
              </w:rPr>
              <w:t>), Zulkuf Genc (</w:t>
            </w:r>
            <w:hyperlink r:id="rId24" w:history="1">
              <w:r w:rsidRPr="000C671E">
                <w:rPr>
                  <w:rStyle w:val="Hyperlink"/>
                  <w:b/>
                  <w:bCs/>
                </w:rPr>
                <w:t>zulkuf.genc@prosus.com</w:t>
              </w:r>
            </w:hyperlink>
            <w:r w:rsidRPr="000C671E">
              <w:rPr>
                <w:b/>
                <w:bCs/>
              </w:rPr>
              <w:t xml:space="preserve">). Repo: </w:t>
            </w:r>
            <w:hyperlink r:id="rId25" w:history="1">
              <w:r w:rsidRPr="000C671E">
                <w:rPr>
                  <w:rStyle w:val="Hyperlink"/>
                  <w:b/>
                  <w:bCs/>
                </w:rPr>
                <w:t>GitHub</w:t>
              </w:r>
            </w:hyperlink>
          </w:p>
        </w:tc>
      </w:tr>
    </w:tbl>
    <w:p w14:paraId="1C16056C" w14:textId="77777777" w:rsidR="00F40DC6" w:rsidRPr="00F40DC6" w:rsidRDefault="00F40DC6" w:rsidP="00F40DC6">
      <w:pPr>
        <w:numPr>
          <w:ilvl w:val="0"/>
          <w:numId w:val="20"/>
        </w:numPr>
      </w:pPr>
      <w:r w:rsidRPr="00F40DC6">
        <w:t>Model/source transparency and citation continue to apply.</w:t>
      </w:r>
    </w:p>
    <w:p w14:paraId="13DAD295" w14:textId="331F2E6A" w:rsidR="00F40DC6" w:rsidRPr="00F40DC6" w:rsidRDefault="00F40DC6" w:rsidP="00F40DC6">
      <w:pPr>
        <w:numPr>
          <w:ilvl w:val="0"/>
          <w:numId w:val="20"/>
        </w:numPr>
      </w:pPr>
      <w:r w:rsidRPr="00F40DC6">
        <w:t>Preview</w:t>
      </w:r>
      <w:r w:rsidR="00E35BFA">
        <w:t xml:space="preserve"> Kaggle dataset (CC0 1.0) and</w:t>
      </w:r>
      <w:r w:rsidRPr="00F40DC6">
        <w:t xml:space="preserve"> FinBERT license (Apache 2.0) and dataset reuse rights.</w:t>
      </w:r>
    </w:p>
    <w:p w14:paraId="4CCD6982" w14:textId="77777777" w:rsidR="00F40DC6" w:rsidRPr="00F40DC6" w:rsidRDefault="00000000" w:rsidP="00F40DC6">
      <w:r>
        <w:pict w14:anchorId="72CEC353">
          <v:rect id="_x0000_i1044" style="width:0;height:1.5pt" o:hralign="center" o:hrstd="t" o:hr="t" fillcolor="#a0a0a0" stroked="f"/>
        </w:pict>
      </w:r>
    </w:p>
    <w:p w14:paraId="7F556FB9" w14:textId="3A1A5A7C" w:rsidR="00F40DC6" w:rsidRPr="00F40DC6" w:rsidRDefault="00F40DC6" w:rsidP="00F40DC6">
      <w:pPr>
        <w:rPr>
          <w:b/>
          <w:bCs/>
        </w:rPr>
      </w:pPr>
      <w:r w:rsidRPr="00F40DC6">
        <w:rPr>
          <w:b/>
          <w:bCs/>
        </w:rPr>
        <w:t>Instructor Prep Notes</w:t>
      </w:r>
    </w:p>
    <w:p w14:paraId="0BAC01B3" w14:textId="77777777" w:rsidR="00F40DC6" w:rsidRPr="00F40DC6" w:rsidRDefault="00F40DC6" w:rsidP="00F40DC6">
      <w:pPr>
        <w:numPr>
          <w:ilvl w:val="0"/>
          <w:numId w:val="21"/>
        </w:numPr>
      </w:pPr>
      <w:r w:rsidRPr="00F40DC6">
        <w:t>Ensure students can run the Colab notebook or Jupyter locally.</w:t>
      </w:r>
    </w:p>
    <w:p w14:paraId="3B15A9F3" w14:textId="77777777" w:rsidR="00F40DC6" w:rsidRPr="00F40DC6" w:rsidRDefault="00F40DC6" w:rsidP="00F40DC6">
      <w:pPr>
        <w:numPr>
          <w:ilvl w:val="0"/>
          <w:numId w:val="21"/>
        </w:numPr>
      </w:pPr>
      <w:r w:rsidRPr="00F40DC6">
        <w:t>Provide visual aids for lookback sequence creation.</w:t>
      </w:r>
    </w:p>
    <w:p w14:paraId="4925B4A8" w14:textId="77777777" w:rsidR="00F40DC6" w:rsidRPr="00F40DC6" w:rsidRDefault="00F40DC6" w:rsidP="00F40DC6">
      <w:pPr>
        <w:numPr>
          <w:ilvl w:val="0"/>
          <w:numId w:val="21"/>
        </w:numPr>
      </w:pPr>
      <w:r w:rsidRPr="00F40DC6">
        <w:t>Allocate time for Q&amp;A on feature scaling, temporal splits, and time series assumptions.</w:t>
      </w:r>
    </w:p>
    <w:p w14:paraId="469061A7" w14:textId="77777777" w:rsidR="00F40DC6" w:rsidRPr="00F40DC6" w:rsidRDefault="00F40DC6" w:rsidP="00F40DC6">
      <w:pPr>
        <w:numPr>
          <w:ilvl w:val="0"/>
          <w:numId w:val="21"/>
        </w:numPr>
      </w:pPr>
      <w:r w:rsidRPr="00F40DC6">
        <w:t>Encourage students to keep artifacts (scalers, plots, metrics) under timestamped folders for repeatable automation.</w:t>
      </w:r>
    </w:p>
    <w:p w14:paraId="2BFF2E98" w14:textId="77777777" w:rsidR="00F40DC6" w:rsidRDefault="00000000" w:rsidP="00F40DC6">
      <w:r>
        <w:pict w14:anchorId="012840D7">
          <v:rect id="_x0000_i1045" style="width:0;height:1.5pt" o:hralign="center" o:hrstd="t" o:hr="t" fillcolor="#a0a0a0" stroked="f"/>
        </w:pict>
      </w:r>
    </w:p>
    <w:p w14:paraId="77AB3869" w14:textId="5B108C6A" w:rsidR="00F40DC6" w:rsidRPr="00F40DC6" w:rsidRDefault="00F40DC6" w:rsidP="00F40DC6">
      <w:pPr>
        <w:rPr>
          <w:b/>
          <w:bCs/>
        </w:rPr>
      </w:pPr>
      <w:r w:rsidRPr="00F40DC6">
        <w:rPr>
          <w:b/>
          <w:bCs/>
        </w:rPr>
        <w:t>Key Takeaways to Reinforce</w:t>
      </w:r>
    </w:p>
    <w:p w14:paraId="5B53CD72" w14:textId="3373B84C" w:rsidR="00F40DC6" w:rsidRPr="00F40DC6" w:rsidRDefault="00F40DC6" w:rsidP="00F40DC6">
      <w:pPr>
        <w:numPr>
          <w:ilvl w:val="0"/>
          <w:numId w:val="22"/>
        </w:numPr>
      </w:pPr>
      <w:r w:rsidRPr="00F40DC6">
        <w:t>Feature engineering + scaling + supervised sequence construction are the core pre-processing steps for T</w:t>
      </w:r>
      <w:r w:rsidR="00E35BFA">
        <w:t>ensor</w:t>
      </w:r>
      <w:r w:rsidRPr="00F40DC6">
        <w:t>F</w:t>
      </w:r>
      <w:r w:rsidR="00E35BFA">
        <w:t>low</w:t>
      </w:r>
      <w:r w:rsidRPr="00F40DC6">
        <w:t xml:space="preserve"> Sequential models.</w:t>
      </w:r>
    </w:p>
    <w:p w14:paraId="38FD63E8" w14:textId="77777777" w:rsidR="00F40DC6" w:rsidRPr="00F40DC6" w:rsidRDefault="00F40DC6" w:rsidP="00F40DC6">
      <w:pPr>
        <w:numPr>
          <w:ilvl w:val="0"/>
          <w:numId w:val="22"/>
        </w:numPr>
      </w:pPr>
      <w:r w:rsidRPr="00F40DC6">
        <w:t>Temporal splits and deterministic seeds are critical for fair validation.</w:t>
      </w:r>
    </w:p>
    <w:p w14:paraId="6E7325DF" w14:textId="77777777" w:rsidR="004501F3" w:rsidRPr="00F40DC6" w:rsidRDefault="004501F3" w:rsidP="00F40DC6"/>
    <w:sectPr w:rsidR="004501F3" w:rsidRPr="00F4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00B843EC"/>
    <w:multiLevelType w:val="multilevel"/>
    <w:tmpl w:val="F95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246C"/>
    <w:multiLevelType w:val="multilevel"/>
    <w:tmpl w:val="D450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E5094"/>
    <w:multiLevelType w:val="multilevel"/>
    <w:tmpl w:val="273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7D1A"/>
    <w:multiLevelType w:val="multilevel"/>
    <w:tmpl w:val="426E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512DB"/>
    <w:multiLevelType w:val="multilevel"/>
    <w:tmpl w:val="12F8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026E6"/>
    <w:multiLevelType w:val="multilevel"/>
    <w:tmpl w:val="DC3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013B"/>
    <w:multiLevelType w:val="multilevel"/>
    <w:tmpl w:val="D7D2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63B9A"/>
    <w:multiLevelType w:val="multilevel"/>
    <w:tmpl w:val="8DE8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24FEA"/>
    <w:multiLevelType w:val="multilevel"/>
    <w:tmpl w:val="01E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511AF"/>
    <w:multiLevelType w:val="multilevel"/>
    <w:tmpl w:val="3F14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A1EAF"/>
    <w:multiLevelType w:val="multilevel"/>
    <w:tmpl w:val="B1CA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0470"/>
    <w:multiLevelType w:val="multilevel"/>
    <w:tmpl w:val="BBB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87316"/>
    <w:multiLevelType w:val="multilevel"/>
    <w:tmpl w:val="DDD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63308"/>
    <w:multiLevelType w:val="multilevel"/>
    <w:tmpl w:val="CA5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9507D"/>
    <w:multiLevelType w:val="multilevel"/>
    <w:tmpl w:val="286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0488B"/>
    <w:multiLevelType w:val="multilevel"/>
    <w:tmpl w:val="A65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D739F"/>
    <w:multiLevelType w:val="multilevel"/>
    <w:tmpl w:val="E0F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E7427"/>
    <w:multiLevelType w:val="hybridMultilevel"/>
    <w:tmpl w:val="9CF611F2"/>
    <w:lvl w:ilvl="0" w:tplc="2048CC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31783"/>
    <w:multiLevelType w:val="multilevel"/>
    <w:tmpl w:val="42F05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34A1D"/>
    <w:multiLevelType w:val="multilevel"/>
    <w:tmpl w:val="E10E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B4D94"/>
    <w:multiLevelType w:val="multilevel"/>
    <w:tmpl w:val="E3C8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2695A"/>
    <w:multiLevelType w:val="multilevel"/>
    <w:tmpl w:val="D270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96121"/>
    <w:multiLevelType w:val="multilevel"/>
    <w:tmpl w:val="F9F6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15E29"/>
    <w:multiLevelType w:val="hybridMultilevel"/>
    <w:tmpl w:val="B1325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52E5B"/>
    <w:multiLevelType w:val="multilevel"/>
    <w:tmpl w:val="4D4C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4054F"/>
    <w:multiLevelType w:val="multilevel"/>
    <w:tmpl w:val="CAD4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E7FA8"/>
    <w:multiLevelType w:val="multilevel"/>
    <w:tmpl w:val="4A1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23EA9"/>
    <w:multiLevelType w:val="multilevel"/>
    <w:tmpl w:val="1AB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114EB"/>
    <w:multiLevelType w:val="hybridMultilevel"/>
    <w:tmpl w:val="C62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F28C1"/>
    <w:multiLevelType w:val="multilevel"/>
    <w:tmpl w:val="7364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450188">
    <w:abstractNumId w:val="0"/>
  </w:num>
  <w:num w:numId="2" w16cid:durableId="1101340894">
    <w:abstractNumId w:val="11"/>
  </w:num>
  <w:num w:numId="3" w16cid:durableId="1378318819">
    <w:abstractNumId w:val="7"/>
  </w:num>
  <w:num w:numId="4" w16cid:durableId="920527875">
    <w:abstractNumId w:val="19"/>
  </w:num>
  <w:num w:numId="5" w16cid:durableId="456067387">
    <w:abstractNumId w:val="12"/>
  </w:num>
  <w:num w:numId="6" w16cid:durableId="438380086">
    <w:abstractNumId w:val="14"/>
  </w:num>
  <w:num w:numId="7" w16cid:durableId="153573894">
    <w:abstractNumId w:val="6"/>
  </w:num>
  <w:num w:numId="8" w16cid:durableId="1052264367">
    <w:abstractNumId w:val="21"/>
  </w:num>
  <w:num w:numId="9" w16cid:durableId="607389408">
    <w:abstractNumId w:val="20"/>
  </w:num>
  <w:num w:numId="10" w16cid:durableId="251594827">
    <w:abstractNumId w:val="25"/>
  </w:num>
  <w:num w:numId="11" w16cid:durableId="1868516787">
    <w:abstractNumId w:val="4"/>
  </w:num>
  <w:num w:numId="12" w16cid:durableId="1812167981">
    <w:abstractNumId w:val="2"/>
  </w:num>
  <w:num w:numId="13" w16cid:durableId="125121897">
    <w:abstractNumId w:val="24"/>
  </w:num>
  <w:num w:numId="14" w16cid:durableId="2147165226">
    <w:abstractNumId w:val="15"/>
  </w:num>
  <w:num w:numId="15" w16cid:durableId="484780849">
    <w:abstractNumId w:val="1"/>
  </w:num>
  <w:num w:numId="16" w16cid:durableId="770973107">
    <w:abstractNumId w:val="9"/>
  </w:num>
  <w:num w:numId="17" w16cid:durableId="78136024">
    <w:abstractNumId w:val="5"/>
  </w:num>
  <w:num w:numId="18" w16cid:durableId="1729567916">
    <w:abstractNumId w:val="3"/>
  </w:num>
  <w:num w:numId="19" w16cid:durableId="1315840922">
    <w:abstractNumId w:val="13"/>
  </w:num>
  <w:num w:numId="20" w16cid:durableId="203370405">
    <w:abstractNumId w:val="29"/>
  </w:num>
  <w:num w:numId="21" w16cid:durableId="990595617">
    <w:abstractNumId w:val="27"/>
  </w:num>
  <w:num w:numId="22" w16cid:durableId="1949123081">
    <w:abstractNumId w:val="8"/>
  </w:num>
  <w:num w:numId="23" w16cid:durableId="2119064310">
    <w:abstractNumId w:val="23"/>
  </w:num>
  <w:num w:numId="24" w16cid:durableId="2132430379">
    <w:abstractNumId w:val="28"/>
  </w:num>
  <w:num w:numId="25" w16cid:durableId="1984774412">
    <w:abstractNumId w:val="18"/>
  </w:num>
  <w:num w:numId="26" w16cid:durableId="761410266">
    <w:abstractNumId w:val="17"/>
  </w:num>
  <w:num w:numId="27" w16cid:durableId="2128305467">
    <w:abstractNumId w:val="16"/>
  </w:num>
  <w:num w:numId="28" w16cid:durableId="191235486">
    <w:abstractNumId w:val="22"/>
  </w:num>
  <w:num w:numId="29" w16cid:durableId="405882573">
    <w:abstractNumId w:val="10"/>
  </w:num>
  <w:num w:numId="30" w16cid:durableId="1014770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F3"/>
    <w:rsid w:val="00062C4F"/>
    <w:rsid w:val="000913A3"/>
    <w:rsid w:val="000C671E"/>
    <w:rsid w:val="0015175F"/>
    <w:rsid w:val="001C0F5D"/>
    <w:rsid w:val="001D6E42"/>
    <w:rsid w:val="003117E0"/>
    <w:rsid w:val="0033515D"/>
    <w:rsid w:val="003A1678"/>
    <w:rsid w:val="003D3E41"/>
    <w:rsid w:val="00435A23"/>
    <w:rsid w:val="00444710"/>
    <w:rsid w:val="004501F3"/>
    <w:rsid w:val="004B79FB"/>
    <w:rsid w:val="004D0A68"/>
    <w:rsid w:val="0050137C"/>
    <w:rsid w:val="00573BA6"/>
    <w:rsid w:val="005B6F88"/>
    <w:rsid w:val="005E2B58"/>
    <w:rsid w:val="005F60E0"/>
    <w:rsid w:val="00651112"/>
    <w:rsid w:val="00735C09"/>
    <w:rsid w:val="007D09D3"/>
    <w:rsid w:val="007D4804"/>
    <w:rsid w:val="008A14CC"/>
    <w:rsid w:val="008A37C4"/>
    <w:rsid w:val="008B78DE"/>
    <w:rsid w:val="008C46CE"/>
    <w:rsid w:val="0091274E"/>
    <w:rsid w:val="00A6171A"/>
    <w:rsid w:val="00B73B88"/>
    <w:rsid w:val="00D21B48"/>
    <w:rsid w:val="00D22936"/>
    <w:rsid w:val="00D84936"/>
    <w:rsid w:val="00D962F3"/>
    <w:rsid w:val="00DA5C2A"/>
    <w:rsid w:val="00E35BFA"/>
    <w:rsid w:val="00E8367E"/>
    <w:rsid w:val="00F400AA"/>
    <w:rsid w:val="00F40DC6"/>
    <w:rsid w:val="00F50C0D"/>
    <w:rsid w:val="00FA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1F10F"/>
  <w15:chartTrackingRefBased/>
  <w15:docId w15:val="{FF2E3FAB-4E69-4798-B50F-1E7CDFAC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1F3"/>
    <w:rPr>
      <w:rFonts w:eastAsiaTheme="majorEastAsia" w:cstheme="majorBidi"/>
      <w:color w:val="272727" w:themeColor="text1" w:themeTint="D8"/>
    </w:rPr>
  </w:style>
  <w:style w:type="paragraph" w:styleId="Title">
    <w:name w:val="Title"/>
    <w:basedOn w:val="Normal"/>
    <w:next w:val="Normal"/>
    <w:link w:val="TitleChar"/>
    <w:uiPriority w:val="10"/>
    <w:qFormat/>
    <w:rsid w:val="00450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1F3"/>
    <w:pPr>
      <w:spacing w:before="160"/>
      <w:jc w:val="center"/>
    </w:pPr>
    <w:rPr>
      <w:i/>
      <w:iCs/>
      <w:color w:val="404040" w:themeColor="text1" w:themeTint="BF"/>
    </w:rPr>
  </w:style>
  <w:style w:type="character" w:customStyle="1" w:styleId="QuoteChar">
    <w:name w:val="Quote Char"/>
    <w:basedOn w:val="DefaultParagraphFont"/>
    <w:link w:val="Quote"/>
    <w:uiPriority w:val="29"/>
    <w:rsid w:val="004501F3"/>
    <w:rPr>
      <w:i/>
      <w:iCs/>
      <w:color w:val="404040" w:themeColor="text1" w:themeTint="BF"/>
    </w:rPr>
  </w:style>
  <w:style w:type="paragraph" w:styleId="ListParagraph">
    <w:name w:val="List Paragraph"/>
    <w:basedOn w:val="Normal"/>
    <w:uiPriority w:val="34"/>
    <w:qFormat/>
    <w:rsid w:val="004501F3"/>
    <w:pPr>
      <w:ind w:left="720"/>
      <w:contextualSpacing/>
    </w:pPr>
  </w:style>
  <w:style w:type="character" w:styleId="IntenseEmphasis">
    <w:name w:val="Intense Emphasis"/>
    <w:basedOn w:val="DefaultParagraphFont"/>
    <w:uiPriority w:val="21"/>
    <w:qFormat/>
    <w:rsid w:val="004501F3"/>
    <w:rPr>
      <w:i/>
      <w:iCs/>
      <w:color w:val="0F4761" w:themeColor="accent1" w:themeShade="BF"/>
    </w:rPr>
  </w:style>
  <w:style w:type="paragraph" w:styleId="IntenseQuote">
    <w:name w:val="Intense Quote"/>
    <w:basedOn w:val="Normal"/>
    <w:next w:val="Normal"/>
    <w:link w:val="IntenseQuoteChar"/>
    <w:uiPriority w:val="30"/>
    <w:qFormat/>
    <w:rsid w:val="00450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1F3"/>
    <w:rPr>
      <w:i/>
      <w:iCs/>
      <w:color w:val="0F4761" w:themeColor="accent1" w:themeShade="BF"/>
    </w:rPr>
  </w:style>
  <w:style w:type="character" w:styleId="IntenseReference">
    <w:name w:val="Intense Reference"/>
    <w:basedOn w:val="DefaultParagraphFont"/>
    <w:uiPriority w:val="32"/>
    <w:qFormat/>
    <w:rsid w:val="004501F3"/>
    <w:rPr>
      <w:b/>
      <w:bCs/>
      <w:smallCaps/>
      <w:color w:val="0F4761" w:themeColor="accent1" w:themeShade="BF"/>
      <w:spacing w:val="5"/>
    </w:rPr>
  </w:style>
  <w:style w:type="character" w:styleId="Hyperlink">
    <w:name w:val="Hyperlink"/>
    <w:basedOn w:val="DefaultParagraphFont"/>
    <w:uiPriority w:val="99"/>
    <w:unhideWhenUsed/>
    <w:rsid w:val="00A6171A"/>
    <w:rPr>
      <w:color w:val="467886" w:themeColor="hyperlink"/>
      <w:u w:val="single"/>
    </w:rPr>
  </w:style>
  <w:style w:type="character" w:styleId="UnresolvedMention">
    <w:name w:val="Unresolved Mention"/>
    <w:basedOn w:val="DefaultParagraphFont"/>
    <w:uiPriority w:val="99"/>
    <w:semiHidden/>
    <w:unhideWhenUsed/>
    <w:rsid w:val="00A6171A"/>
    <w:rPr>
      <w:color w:val="605E5C"/>
      <w:shd w:val="clear" w:color="auto" w:fill="E1DFDD"/>
    </w:rPr>
  </w:style>
  <w:style w:type="paragraph" w:styleId="NormalWeb">
    <w:name w:val="Normal (Web)"/>
    <w:basedOn w:val="Normal"/>
    <w:uiPriority w:val="99"/>
    <w:semiHidden/>
    <w:unhideWhenUsed/>
    <w:rsid w:val="009127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274E"/>
    <w:rPr>
      <w:b/>
      <w:bCs/>
    </w:rPr>
  </w:style>
  <w:style w:type="character" w:customStyle="1" w:styleId="whitespace-nowrap">
    <w:name w:val="whitespace-nowrap!"/>
    <w:basedOn w:val="DefaultParagraphFont"/>
    <w:rsid w:val="0091274E"/>
  </w:style>
  <w:style w:type="character" w:styleId="FollowedHyperlink">
    <w:name w:val="FollowedHyperlink"/>
    <w:basedOn w:val="DefaultParagraphFont"/>
    <w:uiPriority w:val="99"/>
    <w:semiHidden/>
    <w:unhideWhenUsed/>
    <w:rsid w:val="00E836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uggingface.co/ProsusAI/finber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ProsusAI/finBER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reativecommons.org/publicdomain/zero/1.0/" TargetMode="External"/><Relationship Id="rId1" Type="http://schemas.openxmlformats.org/officeDocument/2006/relationships/numbering" Target="numbering.xml"/><Relationship Id="rId6" Type="http://schemas.openxmlformats.org/officeDocument/2006/relationships/hyperlink" Target="https://colab.research.google.com/signup" TargetMode="External"/><Relationship Id="rId11" Type="http://schemas.openxmlformats.org/officeDocument/2006/relationships/image" Target="media/image5.png"/><Relationship Id="rId24" Type="http://schemas.openxmlformats.org/officeDocument/2006/relationships/hyperlink" Target="mailto:zulkuf.genc@prosus.com" TargetMode="External"/><Relationship Id="rId5" Type="http://schemas.openxmlformats.org/officeDocument/2006/relationships/hyperlink" Target="https://colab.research.google.com/signup" TargetMode="External"/><Relationship Id="rId15" Type="http://schemas.openxmlformats.org/officeDocument/2006/relationships/image" Target="media/image9.png"/><Relationship Id="rId23" Type="http://schemas.openxmlformats.org/officeDocument/2006/relationships/hyperlink" Target="mailto:dogu.araci@prosus.com" TargetMode="External"/><Relationship Id="rId10" Type="http://schemas.openxmlformats.org/officeDocument/2006/relationships/image" Target="media/image4.png"/><Relationship Id="rId19" Type="http://schemas.openxmlformats.org/officeDocument/2006/relationships/hyperlink" Target="https://www.kaggle.com/datasets/adilshamim8/nvidia-stock-market-histo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pache.org/licenses/LICENSE-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4</cp:revision>
  <dcterms:created xsi:type="dcterms:W3CDTF">2025-08-16T23:57:00Z</dcterms:created>
  <dcterms:modified xsi:type="dcterms:W3CDTF">2025-08-17T00:31:00Z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697d1cbd-da2d-4a5a-838c-3a85d1e57ebe</vt:lpwstr>
  </property>
</Properties>
</file>