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1FB57D" w14:textId="789EFAA2" w:rsidR="00B65630" w:rsidRDefault="00B65630" w:rsidP="00B65630">
      <w:pPr>
        <w:jc w:val="center"/>
        <w:rPr>
          <w:b/>
          <w:bCs/>
        </w:rPr>
      </w:pPr>
      <w:r>
        <w:rPr>
          <w:b/>
          <w:bCs/>
        </w:rPr>
        <w:t xml:space="preserve">Assignment </w:t>
      </w:r>
      <w:r w:rsidR="00527B42">
        <w:rPr>
          <w:b/>
          <w:bCs/>
        </w:rPr>
        <w:t>3</w:t>
      </w:r>
      <w:r>
        <w:rPr>
          <w:b/>
          <w:bCs/>
        </w:rPr>
        <w:t xml:space="preserve">.1 - </w:t>
      </w:r>
      <w:r w:rsidRPr="00B65630">
        <w:rPr>
          <w:b/>
          <w:bCs/>
        </w:rPr>
        <w:t>Research &amp; Analysis</w:t>
      </w:r>
    </w:p>
    <w:p w14:paraId="067480F8" w14:textId="0E338270" w:rsidR="00B65630" w:rsidRPr="00B65630" w:rsidRDefault="00B65630" w:rsidP="00B65630">
      <w:pPr>
        <w:jc w:val="center"/>
        <w:rPr>
          <w:b/>
          <w:bCs/>
        </w:rPr>
      </w:pPr>
      <w:r w:rsidRPr="00B65630">
        <w:rPr>
          <w:b/>
          <w:bCs/>
        </w:rPr>
        <w:t>Understanding Attention Mechanisms in Sequential Models</w:t>
      </w:r>
    </w:p>
    <w:p w14:paraId="3E8458D9" w14:textId="77777777" w:rsidR="00B65630" w:rsidRPr="00B65630" w:rsidRDefault="00B65630" w:rsidP="00B65630">
      <w:pPr>
        <w:rPr>
          <w:b/>
          <w:bCs/>
        </w:rPr>
      </w:pPr>
      <w:r w:rsidRPr="00B65630">
        <w:rPr>
          <w:b/>
          <w:bCs/>
        </w:rPr>
        <w:t>Context</w:t>
      </w:r>
    </w:p>
    <w:p w14:paraId="765163DB" w14:textId="2244C674" w:rsidR="00B65630" w:rsidRPr="00B65630" w:rsidRDefault="00B65630" w:rsidP="00B65630">
      <w:r w:rsidRPr="00B65630">
        <w:t xml:space="preserve">In Week </w:t>
      </w:r>
      <w:r w:rsidR="00527B42">
        <w:t>2</w:t>
      </w:r>
      <w:r w:rsidRPr="00B65630">
        <w:t>, we introduced the foundations of time series forecasting, dataset exploration, and lookback theory, alongside an early preview of advanced model architectures (LSTMs</w:t>
      </w:r>
      <w:r w:rsidR="00426E26">
        <w:t xml:space="preserve"> and </w:t>
      </w:r>
      <w:r w:rsidRPr="00B65630">
        <w:t xml:space="preserve">GRUs). </w:t>
      </w:r>
      <w:r>
        <w:t xml:space="preserve">In Week </w:t>
      </w:r>
      <w:r w:rsidR="00527B42">
        <w:t>3</w:t>
      </w:r>
      <w:r>
        <w:t xml:space="preserve">, an Attention Mechanism is introduced into the project. </w:t>
      </w:r>
      <w:r w:rsidRPr="00B65630">
        <w:t xml:space="preserve">Your task is to investigate </w:t>
      </w:r>
      <w:r w:rsidRPr="00426E26">
        <w:t>attention mechanisms</w:t>
      </w:r>
      <w:r>
        <w:t>. W</w:t>
      </w:r>
      <w:r w:rsidRPr="00B65630">
        <w:t xml:space="preserve">hat they are, how they work, and how they apply to </w:t>
      </w:r>
      <w:r w:rsidR="00426E26">
        <w:t>sequential data</w:t>
      </w:r>
      <w:r w:rsidRPr="00B65630">
        <w:t>.</w:t>
      </w:r>
    </w:p>
    <w:p w14:paraId="2B70BF65" w14:textId="0E1EFB43" w:rsidR="00B65630" w:rsidRPr="00B65630" w:rsidRDefault="00B65630" w:rsidP="00B65630">
      <w:r>
        <w:rPr>
          <w:b/>
          <w:bCs/>
        </w:rPr>
        <w:t>Project-specific</w:t>
      </w:r>
      <w:r w:rsidRPr="00B65630">
        <w:rPr>
          <w:b/>
          <w:bCs/>
        </w:rPr>
        <w:t xml:space="preserve"> clarification:</w:t>
      </w:r>
      <w:r w:rsidRPr="00B65630">
        <w:t xml:space="preserve"> </w:t>
      </w:r>
      <w:r w:rsidR="00426E26" w:rsidRPr="00426E26">
        <w:t>In this Nvidia Stock Market Prediction project, we do not implement the classical Bahdanau attention in its original form. Instead, we employ a streamlined “custom simple attention” mechanism</w:t>
      </w:r>
      <w:r w:rsidR="00426E26">
        <w:t xml:space="preserve">, </w:t>
      </w:r>
      <w:r w:rsidR="00426E26" w:rsidRPr="00426E26">
        <w:t>an additive variant inspired by Bahdanau’s approach</w:t>
      </w:r>
      <w:r w:rsidR="00426E26">
        <w:t xml:space="preserve">, </w:t>
      </w:r>
      <w:r w:rsidR="00426E26" w:rsidRPr="00426E26">
        <w:t xml:space="preserve">tailored for an encoder-only architecture. This adaptation preserves the core additive scoring principle but simplifies the parameterization and application to better align with our multi-lookback </w:t>
      </w:r>
      <w:r w:rsidR="00426E26">
        <w:t>GRU</w:t>
      </w:r>
      <w:r w:rsidR="00426E26" w:rsidRPr="00426E26">
        <w:t xml:space="preserve"> submodels, enabling focused weighting of encoder outputs without the complexity of a full sequence-to-sequence framework.</w:t>
      </w:r>
    </w:p>
    <w:p w14:paraId="1F6B62D4" w14:textId="77777777" w:rsidR="00B65630" w:rsidRPr="00B65630" w:rsidRDefault="00000000" w:rsidP="00B65630">
      <w:r>
        <w:pict w14:anchorId="4C1AED5C">
          <v:rect id="_x0000_i1025" style="width:0;height:1.5pt" o:hralign="center" o:hrstd="t" o:hr="t" fillcolor="#a0a0a0" stroked="f"/>
        </w:pict>
      </w:r>
    </w:p>
    <w:p w14:paraId="75BB3063" w14:textId="77777777" w:rsidR="00B65630" w:rsidRPr="00B65630" w:rsidRDefault="00B65630" w:rsidP="00B65630">
      <w:pPr>
        <w:rPr>
          <w:b/>
          <w:bCs/>
        </w:rPr>
      </w:pPr>
      <w:r w:rsidRPr="00B65630">
        <w:rPr>
          <w:b/>
          <w:bCs/>
        </w:rPr>
        <w:t>Assignment Objective</w:t>
      </w:r>
    </w:p>
    <w:p w14:paraId="293C29D9" w14:textId="77777777" w:rsidR="00B65630" w:rsidRPr="00426E26" w:rsidRDefault="00B65630" w:rsidP="00B65630">
      <w:r w:rsidRPr="00426E26">
        <w:t>Research, explain, and critically analyze attention with direct ties to:</w:t>
      </w:r>
    </w:p>
    <w:p w14:paraId="041E2242" w14:textId="77777777" w:rsidR="00B65630" w:rsidRPr="00426E26" w:rsidRDefault="00B65630" w:rsidP="00B65630">
      <w:pPr>
        <w:numPr>
          <w:ilvl w:val="0"/>
          <w:numId w:val="1"/>
        </w:numPr>
      </w:pPr>
      <w:r w:rsidRPr="00426E26">
        <w:t>The mechanics of attention (queries, keys, values; scoring + normalization).</w:t>
      </w:r>
    </w:p>
    <w:p w14:paraId="1314E8D7" w14:textId="77777777" w:rsidR="00B65630" w:rsidRPr="00426E26" w:rsidRDefault="00B65630" w:rsidP="00B65630">
      <w:pPr>
        <w:numPr>
          <w:ilvl w:val="0"/>
          <w:numId w:val="1"/>
        </w:numPr>
      </w:pPr>
      <w:r w:rsidRPr="00426E26">
        <w:t>How attention differs from recurrent models without attention.</w:t>
      </w:r>
    </w:p>
    <w:p w14:paraId="24352FB0" w14:textId="437D49D8" w:rsidR="00B65630" w:rsidRPr="00426E26" w:rsidRDefault="00B65630" w:rsidP="00B65630">
      <w:pPr>
        <w:numPr>
          <w:ilvl w:val="0"/>
          <w:numId w:val="1"/>
        </w:numPr>
      </w:pPr>
      <w:r w:rsidRPr="00426E26">
        <w:t>How attention, specifically the custom simple attention (additive</w:t>
      </w:r>
      <w:r w:rsidRPr="00426E26">
        <w:noBreakHyphen/>
        <w:t>variant)</w:t>
      </w:r>
      <w:r w:rsidR="00426E26" w:rsidRPr="00426E26">
        <w:t>, f</w:t>
      </w:r>
      <w:r w:rsidRPr="00426E26">
        <w:t xml:space="preserve">its into the Week </w:t>
      </w:r>
      <w:r w:rsidR="00527B42">
        <w:t>3</w:t>
      </w:r>
      <w:r w:rsidRPr="00426E26">
        <w:t xml:space="preserve"> forecasting pipeline.</w:t>
      </w:r>
    </w:p>
    <w:p w14:paraId="098C8B8D" w14:textId="77777777" w:rsidR="00B65630" w:rsidRPr="00B65630" w:rsidRDefault="00000000" w:rsidP="00B65630">
      <w:r>
        <w:pict w14:anchorId="4010CE05">
          <v:rect id="_x0000_i1026" style="width:0;height:1.5pt" o:hralign="center" o:hrstd="t" o:hr="t" fillcolor="#a0a0a0" stroked="f"/>
        </w:pict>
      </w:r>
    </w:p>
    <w:p w14:paraId="6FD25AF7" w14:textId="77777777" w:rsidR="00B65630" w:rsidRPr="00B65630" w:rsidRDefault="00B65630" w:rsidP="00B65630">
      <w:pPr>
        <w:rPr>
          <w:b/>
          <w:bCs/>
        </w:rPr>
      </w:pPr>
      <w:r w:rsidRPr="00B65630">
        <w:rPr>
          <w:b/>
          <w:bCs/>
        </w:rPr>
        <w:t>Explicit Requirements</w:t>
      </w:r>
    </w:p>
    <w:p w14:paraId="73F89F27" w14:textId="77777777" w:rsidR="00B65630" w:rsidRPr="00B65630" w:rsidRDefault="00B65630" w:rsidP="00B65630">
      <w:pPr>
        <w:rPr>
          <w:b/>
          <w:bCs/>
        </w:rPr>
      </w:pPr>
      <w:r w:rsidRPr="00B65630">
        <w:rPr>
          <w:b/>
          <w:bCs/>
        </w:rPr>
        <w:t>1) Length</w:t>
      </w:r>
    </w:p>
    <w:p w14:paraId="23FE8AE3" w14:textId="77777777" w:rsidR="00B65630" w:rsidRPr="00B65630" w:rsidRDefault="00B65630" w:rsidP="00B65630">
      <w:pPr>
        <w:numPr>
          <w:ilvl w:val="0"/>
          <w:numId w:val="2"/>
        </w:numPr>
      </w:pPr>
      <w:r w:rsidRPr="00B65630">
        <w:rPr>
          <w:b/>
          <w:bCs/>
        </w:rPr>
        <w:t>Two pages</w:t>
      </w:r>
      <w:r w:rsidRPr="00B65630">
        <w:t xml:space="preserve"> (single</w:t>
      </w:r>
      <w:r w:rsidRPr="00B65630">
        <w:noBreakHyphen/>
        <w:t>spaced).</w:t>
      </w:r>
    </w:p>
    <w:p w14:paraId="7722F9B5" w14:textId="77777777" w:rsidR="00B65630" w:rsidRPr="00B65630" w:rsidRDefault="00B65630" w:rsidP="00B65630">
      <w:pPr>
        <w:numPr>
          <w:ilvl w:val="0"/>
          <w:numId w:val="2"/>
        </w:numPr>
      </w:pPr>
      <w:r w:rsidRPr="00B65630">
        <w:t>Figures/diagrams are welcome but must fit within the two pages.</w:t>
      </w:r>
    </w:p>
    <w:p w14:paraId="13D28D64" w14:textId="77777777" w:rsidR="00B65630" w:rsidRPr="00B65630" w:rsidRDefault="00B65630" w:rsidP="00B65630">
      <w:pPr>
        <w:rPr>
          <w:b/>
          <w:bCs/>
        </w:rPr>
      </w:pPr>
      <w:r w:rsidRPr="00B65630">
        <w:rPr>
          <w:b/>
          <w:bCs/>
        </w:rPr>
        <w:t>2) Required Section Headings (use these in your paper)</w:t>
      </w:r>
    </w:p>
    <w:p w14:paraId="0F86F9E4" w14:textId="77777777" w:rsidR="00B65630" w:rsidRPr="00B65630" w:rsidRDefault="00B65630" w:rsidP="00B65630">
      <w:pPr>
        <w:numPr>
          <w:ilvl w:val="0"/>
          <w:numId w:val="3"/>
        </w:numPr>
      </w:pPr>
      <w:r w:rsidRPr="00B65630">
        <w:rPr>
          <w:b/>
          <w:bCs/>
        </w:rPr>
        <w:lastRenderedPageBreak/>
        <w:t>Introduction</w:t>
      </w:r>
      <w:r w:rsidRPr="00B65630">
        <w:br/>
        <w:t>Define attention in deep learning; briefly note its evolution from sequence</w:t>
      </w:r>
      <w:r w:rsidRPr="00B65630">
        <w:noBreakHyphen/>
        <w:t>to</w:t>
      </w:r>
      <w:r w:rsidRPr="00B65630">
        <w:noBreakHyphen/>
        <w:t>sequence models to broader use in time series.</w:t>
      </w:r>
    </w:p>
    <w:p w14:paraId="482D5B05" w14:textId="77777777" w:rsidR="00B65630" w:rsidRPr="00B65630" w:rsidRDefault="00B65630" w:rsidP="00B65630">
      <w:pPr>
        <w:numPr>
          <w:ilvl w:val="0"/>
          <w:numId w:val="3"/>
        </w:numPr>
      </w:pPr>
      <w:r w:rsidRPr="00B65630">
        <w:rPr>
          <w:b/>
          <w:bCs/>
        </w:rPr>
        <w:t>Core Concept of Attention</w:t>
      </w:r>
    </w:p>
    <w:p w14:paraId="0F09BBB1" w14:textId="77777777" w:rsidR="00B65630" w:rsidRPr="00B65630" w:rsidRDefault="00B65630" w:rsidP="00B65630">
      <w:pPr>
        <w:numPr>
          <w:ilvl w:val="1"/>
          <w:numId w:val="3"/>
        </w:numPr>
      </w:pPr>
      <w:r w:rsidRPr="00B65630">
        <w:t>Explain queries, keys, values.</w:t>
      </w:r>
    </w:p>
    <w:p w14:paraId="037225DC" w14:textId="77777777" w:rsidR="00B65630" w:rsidRPr="00B65630" w:rsidRDefault="00B65630" w:rsidP="00B65630">
      <w:pPr>
        <w:numPr>
          <w:ilvl w:val="1"/>
          <w:numId w:val="3"/>
        </w:numPr>
      </w:pPr>
      <w:r w:rsidRPr="00B65630">
        <w:t>Describe scoring and normalization (e.g., similarity → softmax).</w:t>
      </w:r>
    </w:p>
    <w:p w14:paraId="4D231102" w14:textId="77777777" w:rsidR="00B65630" w:rsidRPr="00B65630" w:rsidRDefault="00B65630" w:rsidP="00B65630">
      <w:pPr>
        <w:numPr>
          <w:ilvl w:val="1"/>
          <w:numId w:val="3"/>
        </w:numPr>
      </w:pPr>
      <w:r w:rsidRPr="00B65630">
        <w:t>Clarify how attention weights emphasize salient timesteps/features.</w:t>
      </w:r>
    </w:p>
    <w:p w14:paraId="55505A62" w14:textId="77777777" w:rsidR="00B65630" w:rsidRPr="00B65630" w:rsidRDefault="00B65630" w:rsidP="00B65630">
      <w:pPr>
        <w:numPr>
          <w:ilvl w:val="0"/>
          <w:numId w:val="3"/>
        </w:numPr>
      </w:pPr>
      <w:r w:rsidRPr="00B65630">
        <w:rPr>
          <w:b/>
          <w:bCs/>
        </w:rPr>
        <w:t>Custom Simple Attention (Additive</w:t>
      </w:r>
      <w:r w:rsidRPr="00B65630">
        <w:rPr>
          <w:b/>
          <w:bCs/>
        </w:rPr>
        <w:noBreakHyphen/>
        <w:t>Variant) Used in This Project</w:t>
      </w:r>
    </w:p>
    <w:p w14:paraId="06A84795" w14:textId="09DECB48" w:rsidR="00B65630" w:rsidRPr="00B65630" w:rsidRDefault="00B65630" w:rsidP="00B65630">
      <w:pPr>
        <w:numPr>
          <w:ilvl w:val="1"/>
          <w:numId w:val="3"/>
        </w:numPr>
      </w:pPr>
      <w:r w:rsidRPr="00B65630">
        <w:t xml:space="preserve">Explain the </w:t>
      </w:r>
      <w:r w:rsidRPr="00426E26">
        <w:t>adapted additive</w:t>
      </w:r>
      <w:r w:rsidRPr="00B65630">
        <w:t xml:space="preserve"> formulation at a high level (what inputs it consumes; how it produces </w:t>
      </w:r>
      <w:r w:rsidR="001B44AB" w:rsidRPr="00B65630">
        <w:t>weights,</w:t>
      </w:r>
      <w:r w:rsidRPr="00B65630">
        <w:t xml:space="preserve"> where the context vector is used).</w:t>
      </w:r>
    </w:p>
    <w:p w14:paraId="00CEDAC7" w14:textId="77777777" w:rsidR="00B65630" w:rsidRPr="00B65630" w:rsidRDefault="00B65630" w:rsidP="00B65630">
      <w:pPr>
        <w:numPr>
          <w:ilvl w:val="1"/>
          <w:numId w:val="3"/>
        </w:numPr>
      </w:pPr>
      <w:r w:rsidRPr="00B65630">
        <w:t xml:space="preserve">Clearly </w:t>
      </w:r>
      <w:r w:rsidRPr="00426E26">
        <w:t>state how this differs from canonical Bahdanau</w:t>
      </w:r>
      <w:r w:rsidRPr="00B65630">
        <w:t xml:space="preserve"> (e.g., parameterization, scoring simplifications, where it’s applied in the architecture, training implications).</w:t>
      </w:r>
    </w:p>
    <w:p w14:paraId="1AABA7E3" w14:textId="1D0C3416" w:rsidR="00B65630" w:rsidRPr="00B65630" w:rsidRDefault="00B65630" w:rsidP="00B65630">
      <w:pPr>
        <w:numPr>
          <w:ilvl w:val="1"/>
          <w:numId w:val="3"/>
        </w:numPr>
      </w:pPr>
      <w:r w:rsidRPr="00B65630">
        <w:t>Relate this to our multi</w:t>
      </w:r>
      <w:r w:rsidRPr="00B65630">
        <w:noBreakHyphen/>
        <w:t xml:space="preserve">lookback </w:t>
      </w:r>
      <w:r w:rsidR="00426E26">
        <w:t xml:space="preserve">GRU </w:t>
      </w:r>
      <w:r w:rsidRPr="00B65630">
        <w:t>submodels.</w:t>
      </w:r>
    </w:p>
    <w:p w14:paraId="46546DA8" w14:textId="77777777" w:rsidR="00B65630" w:rsidRPr="00B65630" w:rsidRDefault="00B65630" w:rsidP="00B65630">
      <w:pPr>
        <w:numPr>
          <w:ilvl w:val="0"/>
          <w:numId w:val="3"/>
        </w:numPr>
      </w:pPr>
      <w:r w:rsidRPr="00B65630">
        <w:rPr>
          <w:b/>
          <w:bCs/>
        </w:rPr>
        <w:t>Comparison to Non</w:t>
      </w:r>
      <w:r w:rsidRPr="00B65630">
        <w:rPr>
          <w:b/>
          <w:bCs/>
        </w:rPr>
        <w:noBreakHyphen/>
        <w:t>Attention RNNs</w:t>
      </w:r>
      <w:r w:rsidRPr="00B65630">
        <w:br/>
        <w:t>Contrast with LSTMs/GRUs that rely only on fixed lookbacks; discuss memory limits, vanishing gradients, and long</w:t>
      </w:r>
      <w:r w:rsidRPr="00B65630">
        <w:noBreakHyphen/>
        <w:t>range dependency capture.</w:t>
      </w:r>
    </w:p>
    <w:p w14:paraId="2FFFA23B" w14:textId="0C09691C" w:rsidR="00B65630" w:rsidRPr="00B65630" w:rsidRDefault="00B65630" w:rsidP="00B65630">
      <w:pPr>
        <w:numPr>
          <w:ilvl w:val="0"/>
          <w:numId w:val="3"/>
        </w:numPr>
      </w:pPr>
      <w:r w:rsidRPr="00B65630">
        <w:rPr>
          <w:b/>
          <w:bCs/>
        </w:rPr>
        <w:t>Applications to Financial Forecasting</w:t>
      </w:r>
      <w:r w:rsidRPr="00B65630">
        <w:br/>
        <w:t xml:space="preserve">Provide </w:t>
      </w:r>
      <w:r w:rsidRPr="00B65630">
        <w:rPr>
          <w:b/>
          <w:bCs/>
        </w:rPr>
        <w:t>concrete use cases</w:t>
      </w:r>
      <w:r w:rsidRPr="00B65630">
        <w:t xml:space="preserve"> showing how attention improves:</w:t>
      </w:r>
    </w:p>
    <w:p w14:paraId="7CFF8BA5" w14:textId="77777777" w:rsidR="00B65630" w:rsidRPr="00B65630" w:rsidRDefault="00B65630" w:rsidP="00B65630">
      <w:pPr>
        <w:numPr>
          <w:ilvl w:val="1"/>
          <w:numId w:val="3"/>
        </w:numPr>
      </w:pPr>
      <w:r w:rsidRPr="00B65630">
        <w:t>Feature/step importance over long horizons (e.g., earnings windows, volatility spikes).</w:t>
      </w:r>
    </w:p>
    <w:p w14:paraId="0F2C14EE" w14:textId="21BFCB80" w:rsidR="00B65630" w:rsidRPr="00B65630" w:rsidRDefault="00B65630" w:rsidP="00B65630">
      <w:pPr>
        <w:numPr>
          <w:ilvl w:val="0"/>
          <w:numId w:val="3"/>
        </w:numPr>
      </w:pPr>
      <w:r w:rsidRPr="00B65630">
        <w:rPr>
          <w:b/>
          <w:bCs/>
        </w:rPr>
        <w:t>Conclusion</w:t>
      </w:r>
      <w:r w:rsidRPr="00B65630">
        <w:br/>
        <w:t xml:space="preserve">Summarize the value of attention for </w:t>
      </w:r>
      <w:r w:rsidR="001B44AB">
        <w:t>Nvidia Stock Market History prediction</w:t>
      </w:r>
      <w:r w:rsidRPr="00B65630">
        <w:t xml:space="preserve"> pipeline and note next steps (e.g., experimenting with Luong or lightweight self</w:t>
      </w:r>
      <w:r w:rsidRPr="00B65630">
        <w:noBreakHyphen/>
        <w:t>attention; ablation with/without sentiment).</w:t>
      </w:r>
    </w:p>
    <w:p w14:paraId="292BAB74" w14:textId="77777777" w:rsidR="00B65630" w:rsidRPr="00B65630" w:rsidRDefault="00B65630" w:rsidP="00B65630">
      <w:pPr>
        <w:rPr>
          <w:b/>
          <w:bCs/>
        </w:rPr>
      </w:pPr>
      <w:r w:rsidRPr="00B65630">
        <w:rPr>
          <w:b/>
          <w:bCs/>
        </w:rPr>
        <w:t>3) Research &amp; Sources</w:t>
      </w:r>
    </w:p>
    <w:p w14:paraId="0B5D5570" w14:textId="77777777" w:rsidR="00B65630" w:rsidRPr="001B44AB" w:rsidRDefault="00B65630" w:rsidP="00B65630">
      <w:pPr>
        <w:numPr>
          <w:ilvl w:val="0"/>
          <w:numId w:val="4"/>
        </w:numPr>
      </w:pPr>
      <w:r w:rsidRPr="001B44AB">
        <w:t>Cite at least 3 academic or authoritative technical sources.</w:t>
      </w:r>
    </w:p>
    <w:p w14:paraId="1636AF0B" w14:textId="77777777" w:rsidR="00B65630" w:rsidRPr="00B65630" w:rsidRDefault="00B65630" w:rsidP="00B65630">
      <w:pPr>
        <w:numPr>
          <w:ilvl w:val="0"/>
          <w:numId w:val="4"/>
        </w:numPr>
      </w:pPr>
      <w:r w:rsidRPr="001B44AB">
        <w:t>APA citation style only</w:t>
      </w:r>
      <w:r w:rsidRPr="00B65630">
        <w:t>.</w:t>
      </w:r>
    </w:p>
    <w:p w14:paraId="4AE5EB7F" w14:textId="77777777" w:rsidR="00B65630" w:rsidRPr="00B65630" w:rsidRDefault="00B65630" w:rsidP="00B65630">
      <w:pPr>
        <w:rPr>
          <w:b/>
          <w:bCs/>
        </w:rPr>
      </w:pPr>
      <w:r w:rsidRPr="00B65630">
        <w:rPr>
          <w:b/>
          <w:bCs/>
        </w:rPr>
        <w:t>4) Format &amp; Submission</w:t>
      </w:r>
    </w:p>
    <w:p w14:paraId="7188514F" w14:textId="77777777" w:rsidR="00B65630" w:rsidRPr="001B44AB" w:rsidRDefault="00B65630" w:rsidP="00B65630">
      <w:pPr>
        <w:numPr>
          <w:ilvl w:val="0"/>
          <w:numId w:val="5"/>
        </w:numPr>
        <w:rPr>
          <w:b/>
          <w:bCs/>
        </w:rPr>
      </w:pPr>
      <w:r w:rsidRPr="001B44AB">
        <w:rPr>
          <w:b/>
          <w:bCs/>
        </w:rPr>
        <w:t>Submit as a Word document.</w:t>
      </w:r>
    </w:p>
    <w:p w14:paraId="15A42C4D" w14:textId="77777777" w:rsidR="00B65630" w:rsidRPr="00B65630" w:rsidRDefault="00000000" w:rsidP="00B65630">
      <w:r>
        <w:lastRenderedPageBreak/>
        <w:pict w14:anchorId="5FBC695C">
          <v:rect id="_x0000_i1027" style="width:0;height:1.5pt" o:hralign="center" o:hrstd="t" o:hr="t" fillcolor="#a0a0a0" stroked="f"/>
        </w:pict>
      </w:r>
    </w:p>
    <w:p w14:paraId="56444F54" w14:textId="77777777" w:rsidR="00B65630" w:rsidRPr="001B44AB" w:rsidRDefault="00B65630" w:rsidP="00B65630">
      <w:r w:rsidRPr="001B44AB">
        <w:t>Evaluation Criteria (100 pts)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40"/>
        <w:gridCol w:w="720"/>
      </w:tblGrid>
      <w:tr w:rsidR="00B65630" w:rsidRPr="001B44AB" w14:paraId="5338AE0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A41CB0" w14:textId="77777777" w:rsidR="00B65630" w:rsidRPr="001B44AB" w:rsidRDefault="00B65630" w:rsidP="00B65630">
            <w:r w:rsidRPr="001B44AB">
              <w:t>Criteria</w:t>
            </w:r>
          </w:p>
        </w:tc>
        <w:tc>
          <w:tcPr>
            <w:tcW w:w="0" w:type="auto"/>
            <w:vAlign w:val="center"/>
            <w:hideMark/>
          </w:tcPr>
          <w:p w14:paraId="53ED573D" w14:textId="77777777" w:rsidR="00B65630" w:rsidRPr="001B44AB" w:rsidRDefault="00B65630" w:rsidP="00B65630">
            <w:r w:rsidRPr="001B44AB">
              <w:t>Points</w:t>
            </w:r>
          </w:p>
        </w:tc>
      </w:tr>
      <w:tr w:rsidR="00B65630" w:rsidRPr="001B44AB" w14:paraId="6794419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7A2255" w14:textId="77777777" w:rsidR="00B65630" w:rsidRPr="001B44AB" w:rsidRDefault="00B65630" w:rsidP="00B65630">
            <w:r w:rsidRPr="001B44AB">
              <w:t>Completeness of required sections</w:t>
            </w:r>
          </w:p>
        </w:tc>
        <w:tc>
          <w:tcPr>
            <w:tcW w:w="0" w:type="auto"/>
            <w:vAlign w:val="center"/>
            <w:hideMark/>
          </w:tcPr>
          <w:p w14:paraId="2883E927" w14:textId="77777777" w:rsidR="00B65630" w:rsidRPr="001B44AB" w:rsidRDefault="00B65630" w:rsidP="00B65630">
            <w:r w:rsidRPr="001B44AB">
              <w:t>20</w:t>
            </w:r>
          </w:p>
        </w:tc>
      </w:tr>
      <w:tr w:rsidR="00B65630" w:rsidRPr="001B44AB" w14:paraId="5F70E4A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A49E63" w14:textId="77777777" w:rsidR="00B65630" w:rsidRPr="001B44AB" w:rsidRDefault="00B65630" w:rsidP="00B65630">
            <w:r w:rsidRPr="001B44AB">
              <w:t>Technical accuracy of attention mechanics</w:t>
            </w:r>
          </w:p>
        </w:tc>
        <w:tc>
          <w:tcPr>
            <w:tcW w:w="0" w:type="auto"/>
            <w:vAlign w:val="center"/>
            <w:hideMark/>
          </w:tcPr>
          <w:p w14:paraId="6F5D0AB6" w14:textId="77777777" w:rsidR="00B65630" w:rsidRPr="001B44AB" w:rsidRDefault="00B65630" w:rsidP="00B65630">
            <w:r w:rsidRPr="001B44AB">
              <w:t>20</w:t>
            </w:r>
          </w:p>
        </w:tc>
      </w:tr>
      <w:tr w:rsidR="00B65630" w:rsidRPr="001B44AB" w14:paraId="77694F0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0089F4" w14:textId="77777777" w:rsidR="00B65630" w:rsidRPr="001B44AB" w:rsidRDefault="00B65630" w:rsidP="00B65630">
            <w:r w:rsidRPr="001B44AB">
              <w:t>Correct treatment of our project’s “custom simple attention (additive</w:t>
            </w:r>
            <w:r w:rsidRPr="001B44AB">
              <w:noBreakHyphen/>
              <w:t>variant)” and how it differs from textbook Bahdanau</w:t>
            </w:r>
          </w:p>
        </w:tc>
        <w:tc>
          <w:tcPr>
            <w:tcW w:w="0" w:type="auto"/>
            <w:vAlign w:val="center"/>
            <w:hideMark/>
          </w:tcPr>
          <w:p w14:paraId="74B8FA5A" w14:textId="77777777" w:rsidR="00B65630" w:rsidRPr="001B44AB" w:rsidRDefault="00B65630" w:rsidP="00B65630">
            <w:r w:rsidRPr="001B44AB">
              <w:t>15</w:t>
            </w:r>
          </w:p>
        </w:tc>
      </w:tr>
      <w:tr w:rsidR="00B65630" w:rsidRPr="001B44AB" w14:paraId="3553604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0A5F0C" w14:textId="32DF9725" w:rsidR="00B65630" w:rsidRPr="001B44AB" w:rsidRDefault="00B65630" w:rsidP="00B65630">
            <w:r w:rsidRPr="001B44AB">
              <w:t xml:space="preserve">Depth of analysis linking attention to </w:t>
            </w:r>
            <w:r w:rsidR="00142F4A">
              <w:t>sequential data</w:t>
            </w:r>
            <w:r w:rsidRPr="001B44AB">
              <w:t xml:space="preserve"> forecasting </w:t>
            </w:r>
          </w:p>
        </w:tc>
        <w:tc>
          <w:tcPr>
            <w:tcW w:w="0" w:type="auto"/>
            <w:vAlign w:val="center"/>
            <w:hideMark/>
          </w:tcPr>
          <w:p w14:paraId="0EED0131" w14:textId="77777777" w:rsidR="00B65630" w:rsidRPr="001B44AB" w:rsidRDefault="00B65630" w:rsidP="00B65630">
            <w:r w:rsidRPr="001B44AB">
              <w:t>20</w:t>
            </w:r>
          </w:p>
        </w:tc>
      </w:tr>
      <w:tr w:rsidR="00B65630" w:rsidRPr="001B44AB" w14:paraId="6FE5374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A0AB4D" w14:textId="77777777" w:rsidR="00B65630" w:rsidRPr="001B44AB" w:rsidRDefault="00B65630" w:rsidP="00B65630">
            <w:r w:rsidRPr="001B44AB">
              <w:t>Quality of comparison with non</w:t>
            </w:r>
            <w:r w:rsidRPr="001B44AB">
              <w:noBreakHyphen/>
              <w:t>attention RNNs</w:t>
            </w:r>
          </w:p>
        </w:tc>
        <w:tc>
          <w:tcPr>
            <w:tcW w:w="0" w:type="auto"/>
            <w:vAlign w:val="center"/>
            <w:hideMark/>
          </w:tcPr>
          <w:p w14:paraId="60D89551" w14:textId="77777777" w:rsidR="00B65630" w:rsidRPr="001B44AB" w:rsidRDefault="00B65630" w:rsidP="00B65630">
            <w:r w:rsidRPr="001B44AB">
              <w:t>10</w:t>
            </w:r>
          </w:p>
        </w:tc>
      </w:tr>
      <w:tr w:rsidR="00B65630" w:rsidRPr="001B44AB" w14:paraId="74E896A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86FD2E" w14:textId="77777777" w:rsidR="00B65630" w:rsidRPr="001B44AB" w:rsidRDefault="00B65630" w:rsidP="00B65630">
            <w:r w:rsidRPr="001B44AB">
              <w:t>Writing clarity, organization, and APA citations</w:t>
            </w:r>
          </w:p>
        </w:tc>
        <w:tc>
          <w:tcPr>
            <w:tcW w:w="0" w:type="auto"/>
            <w:vAlign w:val="center"/>
            <w:hideMark/>
          </w:tcPr>
          <w:p w14:paraId="20ABABC0" w14:textId="77777777" w:rsidR="00B65630" w:rsidRPr="001B44AB" w:rsidRDefault="00B65630" w:rsidP="00B65630">
            <w:r w:rsidRPr="001B44AB">
              <w:t>15</w:t>
            </w:r>
          </w:p>
        </w:tc>
      </w:tr>
    </w:tbl>
    <w:p w14:paraId="19E85D76" w14:textId="77777777" w:rsidR="00B65630" w:rsidRPr="00B65630" w:rsidRDefault="00000000" w:rsidP="00B65630">
      <w:r>
        <w:pict w14:anchorId="5A22DC91">
          <v:rect id="_x0000_i1028" style="width:0;height:1.5pt" o:hralign="center" o:hrstd="t" o:hr="t" fillcolor="#a0a0a0" stroked="f"/>
        </w:pict>
      </w:r>
    </w:p>
    <w:p w14:paraId="025634CA" w14:textId="4A1A7508" w:rsidR="00B65630" w:rsidRPr="001B44AB" w:rsidRDefault="00B65630" w:rsidP="00B65630">
      <w:r w:rsidRPr="001B44AB">
        <w:t xml:space="preserve">Tips (keep it concise to stay within </w:t>
      </w:r>
      <w:r w:rsidR="001B44AB">
        <w:t>three</w:t>
      </w:r>
      <w:r w:rsidRPr="001B44AB">
        <w:t xml:space="preserve"> pages)</w:t>
      </w:r>
    </w:p>
    <w:p w14:paraId="4033D059" w14:textId="77777777" w:rsidR="00B65630" w:rsidRPr="00B65630" w:rsidRDefault="00B65630" w:rsidP="00B65630">
      <w:pPr>
        <w:numPr>
          <w:ilvl w:val="0"/>
          <w:numId w:val="6"/>
        </w:numPr>
      </w:pPr>
      <w:r w:rsidRPr="00B65630">
        <w:t>Use one small diagram (if any) to illustrate scoring → weights → context vector.</w:t>
      </w:r>
    </w:p>
    <w:p w14:paraId="1ECCAB32" w14:textId="0C60F952" w:rsidR="00B65630" w:rsidRPr="00B65630" w:rsidRDefault="00B65630" w:rsidP="00B65630">
      <w:pPr>
        <w:numPr>
          <w:ilvl w:val="0"/>
          <w:numId w:val="6"/>
        </w:numPr>
      </w:pPr>
      <w:r w:rsidRPr="00B65630">
        <w:t>When contrasting with Bahdanau, be explicit: what’s simplified/changed in our variant, and why that’s suitable for our multi</w:t>
      </w:r>
      <w:r w:rsidRPr="00B65630">
        <w:noBreakHyphen/>
        <w:t xml:space="preserve">lookback </w:t>
      </w:r>
      <w:r w:rsidR="001B44AB">
        <w:t xml:space="preserve">GRU </w:t>
      </w:r>
      <w:r w:rsidRPr="00B65630">
        <w:t>setup.</w:t>
      </w:r>
    </w:p>
    <w:p w14:paraId="2CD064DF" w14:textId="77777777" w:rsidR="00B65630" w:rsidRPr="001B44AB" w:rsidRDefault="00B65630" w:rsidP="00B65630">
      <w:pPr>
        <w:numPr>
          <w:ilvl w:val="0"/>
          <w:numId w:val="6"/>
        </w:numPr>
      </w:pPr>
      <w:r w:rsidRPr="001B44AB">
        <w:t>For multi</w:t>
      </w:r>
      <w:r w:rsidRPr="001B44AB">
        <w:noBreakHyphen/>
        <w:t>modal fusion, describe how attention could weight recent high</w:t>
      </w:r>
      <w:r w:rsidRPr="001B44AB">
        <w:noBreakHyphen/>
        <w:t>impact news versus long</w:t>
      </w:r>
      <w:r w:rsidRPr="001B44AB">
        <w:noBreakHyphen/>
        <w:t>horizon technical context.</w:t>
      </w:r>
    </w:p>
    <w:p w14:paraId="759B7DAC" w14:textId="77777777" w:rsidR="002D2C85" w:rsidRPr="001B44AB" w:rsidRDefault="002D2C85"/>
    <w:sectPr w:rsidR="002D2C85" w:rsidRPr="001B4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023FC"/>
    <w:multiLevelType w:val="multilevel"/>
    <w:tmpl w:val="55668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BC3B54"/>
    <w:multiLevelType w:val="multilevel"/>
    <w:tmpl w:val="9FC25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93779C"/>
    <w:multiLevelType w:val="multilevel"/>
    <w:tmpl w:val="DA8CC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D00339"/>
    <w:multiLevelType w:val="multilevel"/>
    <w:tmpl w:val="83109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0703E8"/>
    <w:multiLevelType w:val="multilevel"/>
    <w:tmpl w:val="38600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CD59E9"/>
    <w:multiLevelType w:val="multilevel"/>
    <w:tmpl w:val="1B7A8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6264493">
    <w:abstractNumId w:val="0"/>
  </w:num>
  <w:num w:numId="2" w16cid:durableId="1086878029">
    <w:abstractNumId w:val="4"/>
  </w:num>
  <w:num w:numId="3" w16cid:durableId="1083647133">
    <w:abstractNumId w:val="3"/>
  </w:num>
  <w:num w:numId="4" w16cid:durableId="1216432178">
    <w:abstractNumId w:val="1"/>
  </w:num>
  <w:num w:numId="5" w16cid:durableId="573591171">
    <w:abstractNumId w:val="5"/>
  </w:num>
  <w:num w:numId="6" w16cid:durableId="2446505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C85"/>
    <w:rsid w:val="00142F4A"/>
    <w:rsid w:val="001B44AB"/>
    <w:rsid w:val="002D2C85"/>
    <w:rsid w:val="00426E26"/>
    <w:rsid w:val="00527B42"/>
    <w:rsid w:val="00735C09"/>
    <w:rsid w:val="007D09D3"/>
    <w:rsid w:val="00B65630"/>
    <w:rsid w:val="00FA5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715B6B"/>
  <w15:chartTrackingRefBased/>
  <w15:docId w15:val="{B5066BD4-083C-4430-B170-43DE9A990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2C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2C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2C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2C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2C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2C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2C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2C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2C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2C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2C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2C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2C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2C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2C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2C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2C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2C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2C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2C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2C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2C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2C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2C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2C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2C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2C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2C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2C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586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Hill</dc:creator>
  <cp:keywords/>
  <dc:description/>
  <cp:lastModifiedBy>Patrick Hill</cp:lastModifiedBy>
  <cp:revision>2</cp:revision>
  <dcterms:created xsi:type="dcterms:W3CDTF">2025-08-17T00:44:00Z</dcterms:created>
  <dcterms:modified xsi:type="dcterms:W3CDTF">2025-08-17T00:44:00Z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1aa4aa15-9be6-47c0-86b4-acf2e08b7f31</vt:lpwstr>
  </property>
</Properties>
</file>