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589"/>
        <w:gridCol w:w="4651"/>
      </w:tblGrid>
      <w:tr>
        <w:tc>
          <w:tcPr>
            <w:tcW w:type="dxa" w:w="75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0"/>
              <w:bottom w:type="dxa" w:w="0"/>
              <w:right w:type="dxa" w:w="0"/>
            </w:tcMar>
          </w:tcPr>
          <w:p>
            <w:pPr>
              <w:spacing w:after="60" w:before="0"/>
              <w:ind w:left="0" w:right="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1B4D2E"/>
                <w:spacing w:val="30"/>
                <w:sz w:val="60"/>
                <w:szCs w:val="60"/>
              </w:rPr>
              <w:t xml:space="preserve">SUBJECT / TITLE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PJL Land Services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1118 Cenotaph Blvd., Newmarket, ON  L3X 0A5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info@pjllandservices.com  ·  (905) 960-0181  ·  pjllandservices.com</w:t>
            </w:r>
          </w:p>
          <w:p>
            <w:pPr>
              <w:spacing w:after="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pacing w:val="6"/>
                <w:sz w:val="16"/>
                <w:szCs w:val="16"/>
              </w:rPr>
              <w:t xml:space="preserve">GST/HST Reg. No. 757080940 RT0001</w:t>
            </w:r>
          </w:p>
        </w:tc>
        <w:tc>
          <w:tcPr>
            <w:tcW w:type="dxa" w:w="465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800"/>
            </w:tcMar>
            <w:vAlign w:val="top"/>
          </w:tcPr>
          <w:p>
            <w:pPr>
              <w:spacing w:after="0" w:before="0"/>
              <w:ind w:left="0" w:right="0"/>
              <w:jc w:val="right"/>
            </w:pPr>
            <w:r>
              <w:drawing>
                <wp:inline distT="0" distB="0" distL="0" distR="0">
                  <wp:extent cx="2028825" cy="1162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dxa" w:w="12240"/>
        <w:tblBorders>
          <w:top w:val="single" w:color="EFEDE3" w:sz="4"/>
          <w:left w:val="none" w:color="auto" w:sz="0"/>
          <w:bottom w:val="single" w:color="EFEDE3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520"/>
        <w:gridCol w:w="5720"/>
      </w:tblGrid>
      <w:tr>
        <w:tc>
          <w:tcPr>
            <w:tcW w:type="dxa" w:w="6520"/>
            <w:tcBorders>
              <w:top w:val="single" w:color="EFEDE3" w:sz="4"/>
              <w:left w:val="none" w:color="auto" w:sz="0"/>
              <w:bottom w:val="single" w:color="EFEDE3" w:sz="4"/>
              <w:right w:val="none" w:color="auto" w:sz="0"/>
            </w:tcBorders>
            <w:shd w:fill="F4F8EE" w:color="auto" w:val="clear"/>
            <w:tcMar>
              <w:top w:type="dxa" w:w="200"/>
              <w:left w:type="dxa" w:w="800"/>
              <w:bottom w:type="dxa" w:w="200"/>
              <w:right w:type="dxa" w:w="0"/>
            </w:tcMar>
          </w:tcPr>
          <w:p>
            <w:pPr>
              <w:spacing w:after="60" w:before="0"/>
              <w:ind w:left="0" w:right="0"/>
            </w:pPr>
            <w:r>
              <w:rPr>
                <w:rFonts w:ascii="Arial" w:cs="Arial" w:eastAsia="Arial" w:hAnsi="Arial"/>
                <w:b/>
                <w:bCs/>
                <w:color w:val="7A7A72"/>
                <w:spacing w:val="28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(Name of Address)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(Address Street &amp; Number)</w:t>
            </w:r>
          </w:p>
          <w:p>
            <w:pPr>
              <w:spacing w:after="2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(Town/City, Province) (Country)</w:t>
            </w:r>
          </w:p>
          <w:p>
            <w:pPr>
              <w:spacing w:after="0" w:before="0"/>
              <w:ind w:left="0" w:right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(email)</w:t>
            </w:r>
          </w:p>
        </w:tc>
        <w:tc>
          <w:tcPr>
            <w:tcW w:type="dxa" w:w="5720"/>
            <w:tcBorders>
              <w:top w:val="single" w:color="EFEDE3" w:sz="4"/>
              <w:left w:val="none" w:color="auto" w:sz="0"/>
              <w:bottom w:val="single" w:color="EFEDE3" w:sz="4"/>
              <w:right w:val="none" w:color="auto" w:sz="0"/>
            </w:tcBorders>
            <w:shd w:fill="F4F8EE" w:color="auto" w:val="clear"/>
            <w:tcMar>
              <w:top w:type="dxa" w:w="200"/>
              <w:left w:type="dxa" w:w="0"/>
              <w:bottom w:type="dxa" w:w="200"/>
              <w:right w:type="dxa" w:w="800"/>
            </w:tcMar>
          </w:tcPr>
          <w:p>
            <w:pPr>
              <w:spacing w:after="60" w:before="0"/>
              <w:ind w:left="0" w:right="0"/>
            </w:pPr>
            <w:r>
              <w:rPr>
                <w:rFonts w:ascii="Arial" w:cs="Arial" w:eastAsia="Arial" w:hAnsi="Arial"/>
                <w:b/>
                <w:bCs/>
                <w:color w:val="7A7A72"/>
                <w:spacing w:val="28"/>
                <w:sz w:val="16"/>
                <w:szCs w:val="16"/>
              </w:rPr>
              <w:t xml:space="preserve">DATE</w:t>
            </w:r>
          </w:p>
          <w:p>
            <w:pPr>
              <w:spacing w:after="0" w:before="0"/>
              <w:ind w:left="0" w:right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(Date)</w:t>
            </w:r>
          </w:p>
        </w:tc>
      </w:tr>
    </w:tbl>
    <w:p>
      <w:pPr>
        <w:spacing w:after="240"/>
      </w:pP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Start the letter here.</w:t>
      </w: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Type as you normally would — paragraphs, bullets, bold and italic all behave the way Word behaves. Delete this block before sending.</w:t>
      </w: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The letterhead above, the footer and the page count are fixed. The four lines in the green band and the date are yours to fill in.</w:t>
      </w:r>
    </w:p>
    <w:sectPr>
      <w:footerReference w:type="default" r:id="rId7"/>
      <w:pgSz w:w="12240" w:h="15840" w:orient="portrait"/>
      <w:pgMar w:top="800" w:right="0" w:bottom="11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rlow Condensed">
    <w:charset w:val="00"/>
    <w:family w:val="swiss"/>
    <w:pitch w:val="variable"/>
    <w:embedBold r:id="rIdEmbeddedFont1" w:fontKey="{B1C2D3E4-5F60-4A7B-8C9D-0E1F2A3B4C5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800"/>
      <w:gridCol w:w="5320"/>
      <w:gridCol w:w="5320"/>
      <w:gridCol w:w="800"/>
    </w:tblGrid>
    <w:tr>
      <w:tc>
        <w:tcPr>
          <w:tcW w:type="dxa" w:w="8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/>
            <w:ind w:left="0" w:right="0"/>
          </w:pPr>
        </w:p>
      </w:tc>
      <w:tc>
        <w:tcPr>
          <w:tcW w:type="dxa" w:w="5320"/>
          <w:tcBorders>
            <w:top w:val="single" w:color="EFEDE3" w:sz="4"/>
            <w:left w:val="none" w:color="auto" w:sz="0"/>
            <w:bottom w:val="none" w:color="auto" w:sz="0"/>
            <w:right w:val="none" w:color="auto" w:sz="0"/>
          </w:tcBorders>
          <w:tcMar>
            <w:top w:type="dxa" w:w="120"/>
            <w:left w:type="dxa" w:w="0"/>
            <w:bottom w:type="dxa" w:w="0"/>
            <w:right w:type="dxa" w:w="0"/>
          </w:tcMar>
        </w:tcPr>
        <w:p>
          <w:pPr>
            <w:spacing w:after="0" w:before="0"/>
            <w:ind w:left="0" w:right="0"/>
            <w:jc w:val="left"/>
          </w:pPr>
          <w:r>
            <w:rPr>
              <w:rFonts w:ascii="Arial" w:cs="Arial" w:eastAsia="Arial" w:hAnsi="Arial"/>
              <w:b w:val="false"/>
              <w:bCs w:val="false"/>
              <w:color w:val="7A7A72"/>
              <w:sz w:val="15"/>
              <w:szCs w:val="15"/>
            </w:rPr>
            <w:t xml:space="preserve">PJL Land Services  ·  (905) 960-0181  ·  pjllandservices.com</w:t>
          </w:r>
        </w:p>
      </w:tc>
      <w:tc>
        <w:tcPr>
          <w:tcW w:type="dxa" w:w="5320"/>
          <w:tcBorders>
            <w:top w:val="single" w:color="EFEDE3" w:sz="4"/>
            <w:left w:val="none" w:color="auto" w:sz="0"/>
            <w:bottom w:val="none" w:color="auto" w:sz="0"/>
            <w:right w:val="none" w:color="auto" w:sz="0"/>
          </w:tcBorders>
          <w:tcMar>
            <w:top w:type="dxa" w:w="120"/>
            <w:left w:type="dxa" w:w="0"/>
            <w:bottom w:type="dxa" w:w="0"/>
            <w:right w:type="dxa" w:w="0"/>
          </w:tcMar>
        </w:tcPr>
        <w:p>
          <w:pPr>
            <w:spacing w:after="0" w:before="0"/>
            <w:ind w:left="0" w:right="0"/>
            <w:jc w:val="right"/>
          </w:pPr>
          <w:r>
            <w:rPr>
              <w:rFonts w:ascii="Arial" w:cs="Arial" w:eastAsia="Arial" w:hAnsi="Arial"/>
              <w:b w:val="false"/>
              <w:bCs w:val="false"/>
              <w:color w:val="7A7A72"/>
              <w:sz w:val="15"/>
              <w:szCs w:val="15"/>
            </w:rPr>
            <w:t xml:space="preserve">Page </w:t>
          </w:r>
          <w:fldSimple w:instr="PAGE">
            <w:r>
              <w:t xml:space="preserve">1</w:t>
            </w:r>
          </w:fldSimple>
          <w:r>
            <w:rPr>
              <w:rFonts w:ascii="Arial" w:cs="Arial" w:eastAsia="Arial" w:hAnsi="Arial"/>
              <w:b w:val="false"/>
              <w:bCs w:val="false"/>
              <w:color w:val="7A7A72"/>
              <w:sz w:val="15"/>
              <w:szCs w:val="15"/>
            </w:rPr>
            <w:t xml:space="preserve"> of </w:t>
          </w:r>
          <w:fldSimple w:instr="NUMPAGES">
            <w:r>
              <w:t xml:space="preserve">1</w:t>
            </w:r>
          </w:fldSimple>
        </w:p>
      </w:tc>
      <w:tc>
        <w:tcPr>
          <w:tcW w:type="dxa" w:w="8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/>
            <w:ind w:left="0" w:right="0"/>
          </w:pP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mbedTrueTypeFonts/>
  <w:saveSubsetFonts w:val="fals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>
      <w:pPr>
        <w:ind w:left="800" w:right="8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f3868815866e179c7a3a211c863219c75bee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EmbeddedFont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PJL Land Services — letterhead</dc:title>
  <dc:creator>PJL Land Services</dc:creator>
  <dc:description>Editable letterhead template</dc:description>
  <cp:lastModifiedBy>Un-named</cp:lastModifiedBy>
  <cp:revision>1</cp:revision>
  <dcterms:created xsi:type="dcterms:W3CDTF">2026-08-25T18:02:45.837Z</dcterms:created>
  <dcterms:modified xsi:type="dcterms:W3CDTF">2026-08-25T18:02:45.838Z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