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t>L03. Implementacja mikroserwisu nr 1 (np. serwis produktów) – REST API, walidacja, obsługa błędów, testy jednostkowe (Jest).</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t>L06. Implementacja API Gateway w NGINX lub jako mikroserwis Node.js – routing do serwisów backendu, uwierzytelnianie JWT, rate limiting.</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t>L07. Wzorzec Circuit Breaker z użyciem biblioteki opossum (Node.js). Symulowanie awarii serwisu i testowanie mechanizmów fallback.</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t>L08. Podstawy Webpack Module Federation – konfiguracja hosta i remotu. Pierwszy mikrofrontend wystawiający komponent React/Vue.</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t>L09. Budowa aplikacji Shell – integracja co najmniej dwóch niezależnych modułów mikrofrontendowych. Dynamiczne ładowanie modułów.</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t>L10. Routing w aplikacji mikrofrontendowej. Komunikacja między modułami przy użyciu Custom Events i współdzielonego Event Bus.</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t xml:space="preserve">L14. Przegląd i obrona projektów końcowych – prezentacja architektury, demonstracja działającego systemu, dyskusja decyzji </w:t>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egzamin pisemny z zadaniami problemowymi; 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