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  <w:jc w:val="center"/>
      </w:pPr>
      <w:r>
        <w:rPr>
          <w:rFonts w:ascii="Aptos" w:hAnsi="Aptos"/>
          <w:b/>
          <w:sz w:val="26"/>
        </w:rPr>
        <w:t>SYLABUS</w:t>
      </w:r>
    </w:p>
    <w:p>
      <w:pPr>
        <w:spacing w:before="0" w:after="40"/>
        <w:jc w:val="center"/>
      </w:pPr>
      <w:r>
        <w:rPr>
          <w:rFonts w:ascii="Aptos" w:hAnsi="Aptos"/>
          <w:b/>
          <w:sz w:val="20"/>
        </w:rPr>
        <w:t>Polsko-Japońska Akademia Technik Komputerowych Filia w Gdańsku</w:t>
      </w:r>
    </w:p>
    <w:p>
      <w:pPr>
        <w:spacing w:before="0" w:after="80"/>
        <w:jc w:val="center"/>
      </w:pPr>
      <w:r>
        <w:rPr>
          <w:rFonts w:ascii="Aptos" w:hAnsi="Aptos"/>
          <w:sz w:val="20"/>
        </w:rPr>
        <w:t>Kierunek: INFORMATYKA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2493"/>
        <w:gridCol w:w="2493"/>
        <w:gridCol w:w="2493"/>
        <w:gridCol w:w="2493"/>
      </w:tblGrid>
      <w:tr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1.  Nazwa polska przedmiotu:</w:t>
            </w:r>
          </w:p>
        </w:tc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2.  Wersja z dnia:</w:t>
            </w:r>
          </w:p>
        </w:tc>
      </w:tr>
      <w:tr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Metody Design Thinking w projektowaniu systemów IT</w:t>
            </w:r>
          </w:p>
        </w:tc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08.03.2026</w:t>
            </w:r>
          </w:p>
        </w:tc>
      </w:tr>
      <w:tr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3.  Nazwa angielska przedmiotu:</w:t>
            </w:r>
          </w:p>
        </w:tc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4.  Kod przedmiotu:</w:t>
            </w:r>
          </w:p>
        </w:tc>
      </w:tr>
      <w:tr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DTH</w:t>
            </w:r>
          </w:p>
        </w:tc>
      </w:tr>
      <w:tr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5.  Nazwa jednostki prowadzącej przedmiot:</w:t>
            </w:r>
          </w:p>
        </w:tc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6.  Liczba punktów ECTS:</w:t>
            </w:r>
          </w:p>
        </w:tc>
      </w:tr>
      <w:tr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Filia w Gdańsku</w:t>
            </w:r>
          </w:p>
        </w:tc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1662"/>
        <w:gridCol w:w="1662"/>
        <w:gridCol w:w="1662"/>
        <w:gridCol w:w="1662"/>
        <w:gridCol w:w="1662"/>
        <w:gridCol w:w="1662"/>
      </w:tblGrid>
      <w:tr>
        <w:tc>
          <w:tcPr>
            <w:tcW w:type="dxa" w:w="9972"/>
            <w:gridSpan w:val="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7.  Studia</w:t>
            </w:r>
          </w:p>
        </w:tc>
      </w:tr>
      <w:tr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kierunek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stopień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forma studiów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zakres specjalizacyjny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profil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semestr nauczania</w:t>
            </w:r>
          </w:p>
        </w:tc>
      </w:tr>
      <w:tr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INFORMATYKA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niestacjonarny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obieralny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praktyczny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8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8.  Osoba odpowiedzialna za przedmiot: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Aleksandr Polin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"/>
        <w:gridCol w:w="997"/>
        <w:gridCol w:w="997"/>
        <w:gridCol w:w="997"/>
        <w:gridCol w:w="997"/>
        <w:gridCol w:w="997"/>
        <w:gridCol w:w="997"/>
        <w:gridCol w:w="997"/>
        <w:gridCol w:w="997"/>
        <w:gridCol w:w="997"/>
      </w:tblGrid>
      <w:tr>
        <w:tc>
          <w:tcPr>
            <w:tcW w:type="dxa" w:w="9970"/>
            <w:gridSpan w:val="10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9.  Formy zajęć, sposób ich realizacji i przypisana im liczba godzin:</w:t>
            </w:r>
          </w:p>
        </w:tc>
      </w:tr>
      <w:tr>
        <w:tc>
          <w:tcPr>
            <w:tcW w:type="dxa" w:w="9970"/>
            <w:gridSpan w:val="10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Wymiar godzinowy (liczba godzin w semestrze)</w:t>
            </w:r>
          </w:p>
        </w:tc>
      </w:tr>
      <w:tr>
        <w:tc>
          <w:tcPr>
            <w:tcW w:type="dxa" w:w="1994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</w:t>
            </w:r>
          </w:p>
        </w:tc>
        <w:tc>
          <w:tcPr>
            <w:tcW w:type="dxa" w:w="2991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ćwiczenia/laboratorium/pracownia</w:t>
            </w:r>
          </w:p>
        </w:tc>
        <w:tc>
          <w:tcPr>
            <w:tcW w:type="dxa" w:w="2991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 internetowo</w:t>
            </w:r>
          </w:p>
        </w:tc>
        <w:tc>
          <w:tcPr>
            <w:tcW w:type="dxa" w:w="1994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ćw./lab./prac. internetowo</w:t>
            </w:r>
          </w:p>
        </w:tc>
      </w:tr>
      <w:tr>
        <w:tc>
          <w:tcPr>
            <w:tcW w:type="dxa" w:w="1994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16</w:t>
            </w:r>
          </w:p>
        </w:tc>
        <w:tc>
          <w:tcPr>
            <w:tcW w:type="dxa" w:w="2991"/>
            <w:gridSpan w:val="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16</w:t>
            </w:r>
          </w:p>
        </w:tc>
        <w:tc>
          <w:tcPr>
            <w:tcW w:type="dxa" w:w="2991"/>
            <w:gridSpan w:val="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—</w:t>
            </w:r>
          </w:p>
        </w:tc>
        <w:tc>
          <w:tcPr>
            <w:tcW w:type="dxa" w:w="1994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—</w:t>
            </w:r>
          </w:p>
        </w:tc>
      </w:tr>
      <w:tr>
        <w:tc>
          <w:tcPr>
            <w:tcW w:type="dxa" w:w="9970"/>
            <w:gridSpan w:val="10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Bilans ECTS</w:t>
            </w:r>
          </w:p>
        </w:tc>
      </w:tr>
      <w:tr>
        <w:tc>
          <w:tcPr>
            <w:tcW w:type="dxa" w:w="4985"/>
            <w:gridSpan w:val="5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Rodzaj nakładu pracy:</w:t>
            </w:r>
          </w:p>
        </w:tc>
        <w:tc>
          <w:tcPr>
            <w:tcW w:type="dxa" w:w="2991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Liczba godzin</w:t>
            </w:r>
          </w:p>
        </w:tc>
        <w:tc>
          <w:tcPr>
            <w:tcW w:type="dxa" w:w="1994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ECTS</w:t>
            </w:r>
          </w:p>
        </w:tc>
      </w:tr>
      <w:tr>
        <w:tc>
          <w:tcPr>
            <w:tcW w:type="dxa" w:w="4985"/>
            <w:gridSpan w:val="5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Zajęcia z bezpośrednim udziałem nauczyciela</w:t>
            </w:r>
          </w:p>
        </w:tc>
        <w:tc>
          <w:tcPr>
            <w:tcW w:type="dxa" w:w="2991"/>
            <w:gridSpan w:val="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32</w:t>
            </w:r>
          </w:p>
        </w:tc>
        <w:tc>
          <w:tcPr>
            <w:tcW w:type="dxa" w:w="1994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1.3</w:t>
            </w:r>
          </w:p>
        </w:tc>
      </w:tr>
      <w:tr>
        <w:tc>
          <w:tcPr>
            <w:tcW w:type="dxa" w:w="4985"/>
            <w:gridSpan w:val="5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Samodzielna praca studenta</w:t>
            </w:r>
          </w:p>
        </w:tc>
        <w:tc>
          <w:tcPr>
            <w:tcW w:type="dxa" w:w="2991"/>
            <w:gridSpan w:val="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43</w:t>
            </w:r>
          </w:p>
        </w:tc>
        <w:tc>
          <w:tcPr>
            <w:tcW w:type="dxa" w:w="1994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1.7</w:t>
            </w:r>
          </w:p>
        </w:tc>
      </w:tr>
      <w:tr>
        <w:tc>
          <w:tcPr>
            <w:tcW w:type="dxa" w:w="4985"/>
            <w:gridSpan w:val="5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Opis samodzielnej pracy studenta</w:t>
            </w:r>
          </w:p>
        </w:tc>
        <w:tc>
          <w:tcPr>
            <w:tcW w:type="dxa" w:w="4985"/>
            <w:gridSpan w:val="5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Samodzielna praca nad projektem z zastosowaniem metod Design Thinking; tworzenie person, map empatii i prototypów rozwiązań; przygotowanie dokumentacji projektu.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10.  Język wykładowy: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polski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11.  Metody dydaktyczne: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/>
                <w:sz w:val="22"/>
              </w:rPr>
              <w:t>Wykład:</w:t>
            </w:r>
          </w:p>
          <w:p>
            <w:pPr>
              <w:spacing w:before="20" w:after="20"/>
            </w:pPr>
            <w:r>
              <w:rPr>
                <w:rFonts w:ascii="Aptos" w:hAnsi="Aptos"/>
                <w:b w:val="0"/>
                <w:sz w:val="22"/>
              </w:rPr>
              <w:t>• Wykład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4986"/>
        <w:gridCol w:w="4986"/>
      </w:tblGrid>
      <w:tr>
        <w:tc>
          <w:tcPr>
            <w:tcW w:type="dxa" w:w="9972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12.  Forma i sposób zaliczenia oraz podstawowe kryteria oceny lub wymagania egzaminacyjne:</w:t>
            </w:r>
          </w:p>
        </w:tc>
      </w:tr>
      <w:tr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</w:t>
            </w:r>
          </w:p>
        </w:tc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ćwiczenia/laboratorium/pracownia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Nieoceniany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Zaliczenie bez oceny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Zaliczenie z oceną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☑ Egzamin</w:t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Nieoceniany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Zaliczenie bez oceny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☑ Zaliczenie z oceną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Egzamin</w:t>
            </w:r>
          </w:p>
        </w:tc>
      </w:tr>
      <w:tr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kryteria oceny:</w:t>
            </w:r>
          </w:p>
        </w:tc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kryteria oceny: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prezentacja projektu i dokumentacji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2. ocena pracy podczas ćwiczenia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4986"/>
        <w:gridCol w:w="4986"/>
      </w:tblGrid>
      <w:tr>
        <w:tc>
          <w:tcPr>
            <w:tcW w:type="dxa" w:w="9972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13.  Kompetencje niezbędne dla realizacji przedmiotu i przedmioty poprzedzające, z których one pochodzą:</w:t>
            </w:r>
          </w:p>
        </w:tc>
      </w:tr>
      <w:tr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Nazwa przedmiotu poprzedzającego lub realizowanego równolegle</w:t>
            </w:r>
          </w:p>
        </w:tc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Wymagane kompetencje niezbędne w realizacji danego przedmiotu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Projektowanie systemów informacyjnych (PRI)</w:t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Rozumienie cyklu życia oprogramowania i podstawowych diagramów procesów.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14.  Cele przedmiotu (abstrakt w języku polskim i angielskim)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/>
                <w:sz w:val="22"/>
              </w:rPr>
              <w:t>Abstrakt po polsku:</w:t>
            </w:r>
          </w:p>
          <w:p>
            <w:pPr>
              <w:spacing w:before="20" w:after="80"/>
            </w:pPr>
            <w:r>
              <w:rPr>
                <w:rFonts w:ascii="Aptos" w:hAnsi="Aptos"/>
                <w:sz w:val="22"/>
              </w:rPr>
              <w:t>Zapoznanie studentów z metodologią Design Thinking jako usystematyzowanym podejściem do rozwiązywania problemów i tworzenia innowacyjnych rozwiązań IT. Student nauczy się, jak budować produkty (aplikacje, systemy, gry) w oparciu o głęboką empatię wobec użytkownika, szybkie prototypowanie rozwiązań o niskiej wierności oraz proces ciągłej iteracji na podstawie otrzymanego feedbacku.</w:t>
            </w:r>
          </w:p>
          <w:p>
            <w:pPr>
              <w:spacing w:before="80" w:after="20"/>
            </w:pPr>
            <w:r>
              <w:rPr>
                <w:rFonts w:ascii="Aptos" w:hAnsi="Aptos"/>
                <w:b/>
                <w:sz w:val="22"/>
              </w:rPr>
              <w:t>Abstrakt po angielsku:</w:t>
            </w:r>
          </w:p>
          <w:p>
            <w:pPr>
              <w:spacing w:before="20" w:after="20"/>
            </w:pPr>
            <w:r>
              <w:rPr>
                <w:rFonts w:ascii="Aptos" w:hAnsi="Aptos"/>
                <w:i/>
                <w:sz w:val="22"/>
              </w:rPr>
              <w:t>Introduction to Design Thinking methodology as a structured approach to solving problems and creating innovative IT solutions. Students learn how to build products (applications, systems, games) based on deep empathy for the user, rapid low-fidelity prototyping, and a process of continuous iteration based on received feedback.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680"/>
        <w:gridCol w:w="4536"/>
        <w:gridCol w:w="4252"/>
      </w:tblGrid>
      <w:tr>
        <w:tc>
          <w:tcPr>
            <w:tcW w:type="dxa" w:w="9468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15.  Treści programowe poszczególnych zajęć:</w:t>
            </w:r>
          </w:p>
        </w:tc>
      </w:tr>
      <w:tr>
        <w:tc>
          <w:tcPr>
            <w:tcW w:type="dxa" w:w="680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Nr zajęć</w:t>
            </w:r>
          </w:p>
        </w:tc>
        <w:tc>
          <w:tcPr>
            <w:tcW w:type="dxa" w:w="453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</w:t>
            </w:r>
          </w:p>
        </w:tc>
        <w:tc>
          <w:tcPr>
            <w:tcW w:type="dxa" w:w="425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Ćwiczenia / Laboratorium / Pracownia</w:t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Fundamenty Design Thinking. Geneza metody, "Double Diamond" i różnica między myśleniem dywergencyjnym a konwergencyjnym.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Etap Empatii. Techniki obserwacji, wywiady pogłębione i mapowanie podróży użytkownika (Customer Journey Map).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Definiowanie problemu. Synteza danych, tworzenie Person i identyfikacja realnych bólów (pains) oraz zysków (gains) użytkownika.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4.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Generowanie pomysłów (Ideate). Techniki burzy mózgów (np. Brainwriting, SCAMPER) i selekcja pomysłów za pomocą macierzy priorytetów.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5.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Prototypowanie w IT. Szybkie makiety lo-fi, prototypowanie usług (Service Blueprint) i rola MVP.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6.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Testowanie i Iteracja. Planowanie scenariuszy testowych, zbieranie feedbacku i powrót do wcześniejszych faz procesu.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7.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Wdrożenie i prezentacja. Storytelling jako narzędzie prezentacji pomysłu biznesowego/technicznego.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16.  Elektroniczne materiały dydaktyczne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17.  Wykaz literatury</w:t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Literatura wymagana do ostatecznego zaliczenia zajęć, wykorzystywana podczas zajęć oraz studiowana samodzielnie przez studenta: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Lewrick M. Link P. Leifer L., The Design Thinking Playbook: Mindful Digital Transformation of Teams, Products, Services, Businesses and Ecosystems, Wiley John + Sons 2018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2. Brown T., Change by Design: How Design Thinking Transforms Organizations and Inspires Innovation, Harper Collins Publ. USA 2019</w:t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Literatura uzupełniająca: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Norman D., The Design of Everyday Things, Hachette Book Group USA 2013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18.  Wiedza nabywana / dostarczana uczestnikom w trakcie realizacji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Kierunkowe efekty uczenia się (kody)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Przedmiotowy efekt uczenia się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Metody weryfikacji osiągnięcia efektu uczenia się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zna pięć etapów procesu Design Thinking (Empathize, Define, Ideate, Prototype, Test).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pracy podczas ćwiczenia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rozumie różnice między projektowaniem skoncentrowanym na technologii a projektowaniem skoncentrowanym na człowieku (Human-Centered Design).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pracy podczas ćwiczenia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posiada wiedzę o technikach kreatywnego rozwiązywania problemów i moderowania sesji ideacyjnych.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pracy podczas ćwiczenia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19.  Umiejętności nabywane podczas realizacji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Kierunkowe efekty uczenia się (kody)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Przedmiotowy efekt uczenia się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Metody weryfikacji osiągnięcia efektu uczenia się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potrafi samodzielnie przygotować i przeprowadzić wywiad z użytkownikiem oraz stworzyć na jego podstawie mapę empatii i personę.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pracy podczas ćwiczenia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umie zdefiniować "Point of View" (POV) i sformułować pytania typu "How Might We" w celu znalezienia innowacyjnych rozwiązań.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pracy podczas ćwiczenia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potrafi tworzyć prototypy "low-fidelity" (np. makiety papierowe, storyboarding) i wykorzystywać je do zbierania wczesnego feedbacku.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pracy podczas ćwiczenia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20.  Kompetencje społeczne (postawy) kształtowane podczas realizacji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Kierunkowe efekty uczenia się (kody)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Przedmiotowy efekt uczenia się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Metody weryfikacji osiągnięcia efektu uczenia się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wykazuje postawę otwartości na krytykę i potrafi porzucić własne założenia na rzecz realnych potrzeb użytkownika.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pracy podczas ćwiczenia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jest gotowy do moderowania procesów grupowych, dbając o bezpieczeństwo psychologiczne i kreatywność zespołu.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pracy podczas ćwiczenia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21.  Wymagania dotyczące laboratorium, w którym odbywają się zajęcia z niniejszego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Parametry dla stanowisk komputerowych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Oprogramowanie konieczne do realizacji przedmiotu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Wyposażenie specjalistyczne konieczne do realizacji przedmiotu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22.  Informacje dodatkowe – certyfikaty do których przygotowuje przedmiot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23.  Uzasadnienie dla prowadzenia przedmiotu - współpraca z rynkiem pracy</w:t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A.  W jakiego typu firmach bądź dziedzinach gospodarki będą potrzebne umiejętności nabyte w trakcie zajęć: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B.  W jakich zawodach wiedza i umiejętności nabyte podczas zajęć są istotne: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C.  Przykładowe tematy prac dyplomowych i projektów badawczych: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sectPr w:rsidR="00FC693F" w:rsidRPr="0006063C" w:rsidSect="00034616">
      <w:pgSz w:w="12240" w:h="15840"/>
      <w:pgMar w:top="850" w:right="1134" w:bottom="85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