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Język niemiecki 2</w:t>
            </w:r>
          </w:p>
        </w:tc>
        <w:tc>
          <w:tcPr>
            <w:tcW w:type="dxa" w:w="4986"/>
            <w:gridSpan w:val="2"/>
          </w:tcPr>
          <w:p>
            <w:pPr>
              <w:spacing w:before="20" w:after="20"/>
            </w:pPr>
            <w:r>
              <w:rPr>
                <w:rFonts w:ascii="Aptos" w:hAnsi="Aptos"/>
                <w:b w:val="0"/>
                <w:i w:val="0"/>
                <w:sz w:val="22"/>
              </w:rPr>
              <w:t>06.03.2026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NIM2</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Gdańsku</w:t>
            </w:r>
          </w:p>
        </w:tc>
        <w:tc>
          <w:tcPr>
            <w:tcW w:type="dxa" w:w="4986"/>
            <w:gridSpan w:val="2"/>
          </w:tcPr>
          <w:p>
            <w:pPr>
              <w:spacing w:before="20" w:after="20"/>
            </w:pPr>
            <w:r>
              <w:rPr>
                <w:rFonts w:ascii="Aptos" w:hAnsi="Aptos"/>
                <w:b w:val="0"/>
                <w:i w:val="0"/>
                <w:sz w:val="22"/>
              </w:rPr>
              <w:t>2</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t>lektorat</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6</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 xml:space="preserve">Studium Języków Obcych </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w:t>
            </w:r>
          </w:p>
        </w:tc>
        <w:tc>
          <w:tcPr>
            <w:tcW w:type="dxa" w:w="2991"/>
            <w:gridSpan w:val="3"/>
          </w:tcPr>
          <w:p>
            <w:pPr>
              <w:spacing w:before="20" w:after="20"/>
            </w:pPr>
            <w:r>
              <w:rPr>
                <w:rFonts w:ascii="Aptos" w:hAnsi="Aptos"/>
                <w:b w:val="0"/>
                <w:i w:val="0"/>
                <w:sz w:val="22"/>
              </w:rPr>
              <w:t>16</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16</w:t>
            </w:r>
          </w:p>
        </w:tc>
        <w:tc>
          <w:tcPr>
            <w:tcW w:type="dxa" w:w="1994"/>
            <w:gridSpan w:val="2"/>
          </w:tcPr>
          <w:p>
            <w:pPr>
              <w:spacing w:before="20" w:after="20"/>
            </w:pPr>
            <w:r>
              <w:rPr>
                <w:rFonts w:ascii="Aptos" w:hAnsi="Aptos"/>
                <w:b w:val="0"/>
                <w:i w:val="0"/>
                <w:sz w:val="22"/>
              </w:rPr>
              <w:t>0.6</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34</w:t>
            </w:r>
          </w:p>
        </w:tc>
        <w:tc>
          <w:tcPr>
            <w:tcW w:type="dxa" w:w="1994"/>
            <w:gridSpan w:val="2"/>
          </w:tcPr>
          <w:p>
            <w:pPr>
              <w:spacing w:before="20" w:after="20"/>
            </w:pPr>
            <w:r>
              <w:rPr>
                <w:rFonts w:ascii="Aptos" w:hAnsi="Aptos"/>
                <w:b w:val="0"/>
                <w:i w:val="0"/>
                <w:sz w:val="22"/>
              </w:rPr>
              <w:t>1.4</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Nauka słownictwa i gramatyki języka niemieckiego; przygotowywanie prac pisemnych; ćwiczenia konwersacyjne; przygotowanie do kolokwiów i testów.</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Ćwiczenia / Laboratorium:</w:t>
            </w:r>
          </w:p>
          <w:p>
            <w:pPr>
              <w:spacing w:before="20" w:after="20"/>
            </w:pPr>
            <w:r>
              <w:rPr>
                <w:rFonts w:ascii="Aptos" w:hAnsi="Aptos"/>
                <w:b w:val="0"/>
                <w:sz w:val="22"/>
              </w:rPr>
              <w:t>• analiza tekstów z dyskusją</w:t>
            </w:r>
          </w:p>
          <w:p>
            <w:pPr>
              <w:spacing w:before="20" w:after="20"/>
            </w:pPr>
            <w:r>
              <w:rPr>
                <w:rFonts w:ascii="Aptos" w:hAnsi="Aptos"/>
                <w:b w:val="0"/>
                <w:sz w:val="22"/>
              </w:rPr>
              <w:t>• rozwiązywanie zadań</w:t>
            </w:r>
          </w:p>
          <w:p>
            <w:pPr>
              <w:spacing w:before="20" w:after="20"/>
            </w:pPr>
            <w:r>
              <w:rPr>
                <w:rFonts w:ascii="Aptos" w:hAnsi="Aptos"/>
                <w:b w:val="0"/>
                <w:sz w:val="22"/>
              </w:rPr>
              <w:t>• burza mózgów</w:t>
            </w:r>
          </w:p>
          <w:p>
            <w:pPr>
              <w:spacing w:before="20" w:after="20"/>
            </w:pPr>
            <w:r>
              <w:rPr>
                <w:rFonts w:ascii="Aptos" w:hAnsi="Aptos"/>
                <w:b w:val="0"/>
                <w:sz w:val="22"/>
              </w:rPr>
              <w:t>• mind map</w:t>
            </w:r>
          </w:p>
          <w:p>
            <w:pPr>
              <w:spacing w:before="20" w:after="20"/>
            </w:pPr>
            <w:r>
              <w:rPr>
                <w:rFonts w:ascii="Aptos" w:hAnsi="Aptos"/>
                <w:b w:val="0"/>
                <w:sz w:val="22"/>
              </w:rPr>
              <w:t>• praca grupowa nad projektem z wykorzystaniem nowoczesnych technik informatycznych</w:t>
            </w:r>
          </w:p>
          <w:p>
            <w:pPr>
              <w:spacing w:before="20" w:after="20"/>
            </w:pPr>
            <w:r>
              <w:rPr>
                <w:rFonts w:ascii="Aptos" w:hAnsi="Aptos"/>
                <w:b w:val="0"/>
                <w:sz w:val="22"/>
              </w:rPr>
              <w:t>• warsztaty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sz w:val="22"/>
              </w:rPr>
              <w:t>1. kolokwium</w:t>
            </w:r>
          </w:p>
          <w:p>
            <w:pPr>
              <w:spacing w:before="20" w:after="20"/>
            </w:pPr>
            <w:r>
              <w:rPr>
                <w:rFonts w:ascii="Aptos" w:hAnsi="Aptos"/>
                <w:sz w:val="22"/>
              </w:rPr>
              <w:t>2. egzamin ustny</w:t>
            </w:r>
          </w:p>
          <w:p>
            <w:pPr>
              <w:spacing w:before="20" w:after="20"/>
            </w:pPr>
            <w:r>
              <w:rPr>
                <w:rFonts w:ascii="Aptos" w:hAnsi="Aptos"/>
                <w:sz w:val="22"/>
              </w:rPr>
              <w:t>3.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NIM1</w:t>
            </w:r>
          </w:p>
        </w:tc>
        <w:tc>
          <w:tcPr>
            <w:tcW w:type="dxa" w:w="4986"/>
          </w:tcPr>
          <w:p>
            <w:pPr>
              <w:spacing w:before="20" w:after="20"/>
            </w:pPr>
            <w:r>
              <w:rPr>
                <w:rFonts w:ascii="Aptos" w:hAnsi="Aptos"/>
                <w:b w:val="0"/>
                <w:i w:val="0"/>
                <w:sz w:val="22"/>
              </w:rPr>
              <w:t>Zagadnienia z NIM1</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Nauczanie języka niemieckiego od poziomu A1 do A2. Student  opanowuje język niemiecki w stopniu pozwalającym na komunikację językową w większości sytuacji dnia codziennego i częściowo zawodowego, wyrażanie myśli i opinii, rozumienie i tworzenie krótkich tekstów pisanych i wypowiedzi ustnych na różne tematy. Student poznaje elementy kultury, historii i realiów życia codziennego w Niemczech i krajach niemieckojęzycznych.</w:t>
            </w:r>
          </w:p>
          <w:p>
            <w:pPr>
              <w:spacing w:before="80" w:after="20"/>
            </w:pPr>
            <w:r>
              <w:rPr>
                <w:rFonts w:ascii="Aptos" w:hAnsi="Aptos"/>
                <w:b/>
                <w:sz w:val="22"/>
              </w:rPr>
              <w:t>Abstrakt po angielsku:</w:t>
            </w:r>
          </w:p>
          <w:p>
            <w:pPr>
              <w:spacing w:before="20" w:after="20"/>
            </w:pPr>
            <w:r>
              <w:rPr>
                <w:rFonts w:ascii="Aptos" w:hAnsi="Aptos"/>
                <w:i/>
                <w:sz w:val="22"/>
              </w:rPr>
              <w:t>German language instruction at the B1/B1+ level. Students acquire German proficiency enabling communication in most everyday and professional situations, expressing thoughts and opinions, and understanding and producing written texts and spoken statements on general topics and specialist topics related to computer science.</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4536"/>
        <w:gridCol w:w="4252"/>
      </w:tblGrid>
      <w:tr>
        <w:tc>
          <w:tcPr>
            <w:tcW w:type="dxa" w:w="9468"/>
            <w:gridSpan w:val="3"/>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4536"/>
            <w:shd w:val="clear" w:color="auto" w:fill="D9D9D9"/>
          </w:tcPr>
          <w:p>
            <w:pPr>
              <w:spacing w:before="20" w:after="20"/>
            </w:pPr>
            <w:r>
              <w:rPr>
                <w:rFonts w:ascii="Aptos" w:hAnsi="Aptos"/>
                <w:b/>
                <w:i w:val="0"/>
                <w:sz w:val="16"/>
              </w:rPr>
              <w:t>Wykład</w:t>
            </w:r>
          </w:p>
        </w:tc>
        <w:tc>
          <w:tcPr>
            <w:tcW w:type="dxa" w:w="4252"/>
            <w:shd w:val="clear" w:color="auto" w:fill="D9D9D9"/>
          </w:tcPr>
          <w:p>
            <w:pPr>
              <w:spacing w:before="20" w:after="20"/>
            </w:pPr>
            <w:r>
              <w:rPr>
                <w:rFonts w:ascii="Aptos" w:hAnsi="Aptos"/>
                <w:b/>
                <w:i w:val="0"/>
                <w:sz w:val="16"/>
              </w:rPr>
              <w:t>Ćwiczenia / Laboratorium / Pracownia</w:t>
            </w:r>
          </w:p>
        </w:tc>
      </w:tr>
      <w:tr>
        <w:tc>
          <w:tcPr>
            <w:tcW w:type="dxa" w:w="680"/>
          </w:tcPr>
          <w:p>
            <w:pPr>
              <w:spacing w:before="20" w:after="20"/>
            </w:pPr>
            <w:r>
              <w:rPr>
                <w:rFonts w:ascii="Aptos" w:hAnsi="Aptos"/>
                <w:b w:val="0"/>
                <w:i w:val="0"/>
                <w:sz w:val="22"/>
              </w:rPr>
              <w:t>1.</w:t>
            </w:r>
          </w:p>
        </w:tc>
        <w:tc>
          <w:tcPr>
            <w:tcW w:type="dxa" w:w="4536"/>
          </w:tcPr>
          <w:p>
            <w:pPr>
              <w:spacing w:before="20" w:after="20"/>
            </w:pPr>
            <w:r>
              <w:rPr>
                <w:rFonts w:ascii="Aptos" w:hAnsi="Aptos"/>
                <w:b w:val="0"/>
                <w:i w:val="0"/>
                <w:sz w:val="22"/>
              </w:rPr>
              <w:t>Powtórzenie i diagnoza poziomu. Słownictwo: środowisko pracy i życie studenta.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w:t>
            </w:r>
          </w:p>
        </w:tc>
        <w:tc>
          <w:tcPr>
            <w:tcW w:type="dxa" w:w="4536"/>
          </w:tcPr>
          <w:p>
            <w:pPr>
              <w:spacing w:before="20" w:after="20"/>
            </w:pPr>
            <w:r>
              <w:rPr>
                <w:rFonts w:ascii="Aptos" w:hAnsi="Aptos"/>
                <w:b w:val="0"/>
                <w:i w:val="0"/>
                <w:sz w:val="22"/>
              </w:rPr>
              <w:t>Gramatyka: Konjunktiv II – wyrażanie życzeń, możliwości i warunków.</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w:t>
            </w:r>
          </w:p>
        </w:tc>
        <w:tc>
          <w:tcPr>
            <w:tcW w:type="dxa" w:w="4536"/>
          </w:tcPr>
          <w:p>
            <w:pPr>
              <w:spacing w:before="20" w:after="20"/>
            </w:pPr>
            <w:r>
              <w:rPr>
                <w:rFonts w:ascii="Aptos" w:hAnsi="Aptos"/>
                <w:b w:val="0"/>
                <w:i w:val="0"/>
                <w:sz w:val="22"/>
              </w:rPr>
              <w:t>Słownictwo IT: sprzęt komputerowy, oprogramowanie, systemy operacyjne.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w:t>
            </w:r>
          </w:p>
        </w:tc>
        <w:tc>
          <w:tcPr>
            <w:tcW w:type="dxa" w:w="4536"/>
          </w:tcPr>
          <w:p>
            <w:pPr>
              <w:spacing w:before="20" w:after="20"/>
            </w:pPr>
            <w:r>
              <w:rPr>
                <w:rFonts w:ascii="Aptos" w:hAnsi="Aptos"/>
                <w:b w:val="0"/>
                <w:i w:val="0"/>
                <w:sz w:val="22"/>
              </w:rPr>
              <w:t>Komunikacja zawodowa: korespondencja e-mailowa, pisanie podania o pracę.</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w:t>
            </w:r>
          </w:p>
        </w:tc>
        <w:tc>
          <w:tcPr>
            <w:tcW w:type="dxa" w:w="4536"/>
          </w:tcPr>
          <w:p>
            <w:pPr>
              <w:spacing w:before="20" w:after="20"/>
            </w:pPr>
            <w:r>
              <w:rPr>
                <w:rFonts w:ascii="Aptos" w:hAnsi="Aptos"/>
                <w:b w:val="0"/>
                <w:i w:val="0"/>
                <w:sz w:val="22"/>
              </w:rPr>
              <w:t>Gramatyka: Passiv – budowanie i użycie strony biernej w opisach procesów.</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6.</w:t>
            </w:r>
          </w:p>
        </w:tc>
        <w:tc>
          <w:tcPr>
            <w:tcW w:type="dxa" w:w="4536"/>
          </w:tcPr>
          <w:p>
            <w:pPr>
              <w:spacing w:before="20" w:after="20"/>
            </w:pPr>
            <w:r>
              <w:rPr>
                <w:rFonts w:ascii="Aptos" w:hAnsi="Aptos"/>
                <w:b w:val="0"/>
                <w:i w:val="0"/>
                <w:sz w:val="22"/>
              </w:rPr>
              <w:t>Słownictwo: internet, sieci komputerowe, bezpieczeństwo danych.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7.</w:t>
            </w:r>
          </w:p>
        </w:tc>
        <w:tc>
          <w:tcPr>
            <w:tcW w:type="dxa" w:w="4536"/>
          </w:tcPr>
          <w:p>
            <w:pPr>
              <w:spacing w:before="20" w:after="20"/>
            </w:pPr>
            <w:r>
              <w:rPr>
                <w:rFonts w:ascii="Aptos" w:hAnsi="Aptos"/>
                <w:b w:val="0"/>
                <w:i w:val="0"/>
                <w:sz w:val="22"/>
              </w:rPr>
              <w:t>Czytanie ze zrozumieniem: artykuły techniczne w języku niemieckim.</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8.</w:t>
            </w:r>
          </w:p>
        </w:tc>
        <w:tc>
          <w:tcPr>
            <w:tcW w:type="dxa" w:w="4536"/>
          </w:tcPr>
          <w:p>
            <w:pPr>
              <w:spacing w:before="20" w:after="20"/>
            </w:pPr>
            <w:r>
              <w:rPr>
                <w:rFonts w:ascii="Aptos" w:hAnsi="Aptos"/>
                <w:b w:val="0"/>
                <w:i w:val="0"/>
                <w:sz w:val="22"/>
              </w:rPr>
              <w:t>Prezentacje w języku niemieckim – struktura i słownictwo.</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9.</w:t>
            </w:r>
          </w:p>
        </w:tc>
        <w:tc>
          <w:tcPr>
            <w:tcW w:type="dxa" w:w="4536"/>
          </w:tcPr>
          <w:p>
            <w:pPr>
              <w:spacing w:before="20" w:after="20"/>
            </w:pPr>
            <w:r>
              <w:rPr>
                <w:rFonts w:ascii="Aptos" w:hAnsi="Aptos"/>
                <w:b w:val="0"/>
                <w:i w:val="0"/>
                <w:sz w:val="22"/>
              </w:rPr>
              <w:t>Słownictwo: programowanie, algorytmy, języki programowania.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10.</w:t>
            </w:r>
          </w:p>
        </w:tc>
        <w:tc>
          <w:tcPr>
            <w:tcW w:type="dxa" w:w="4536"/>
          </w:tcPr>
          <w:p>
            <w:pPr>
              <w:spacing w:before="20" w:after="20"/>
            </w:pPr>
            <w:r>
              <w:rPr>
                <w:rFonts w:ascii="Aptos" w:hAnsi="Aptos"/>
                <w:b w:val="0"/>
                <w:i w:val="0"/>
                <w:sz w:val="22"/>
              </w:rPr>
              <w:t>Komunikacja w projekcie: spotkania, raporty, statusy – symulacje.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11.</w:t>
            </w:r>
          </w:p>
        </w:tc>
        <w:tc>
          <w:tcPr>
            <w:tcW w:type="dxa" w:w="4536"/>
          </w:tcPr>
          <w:p>
            <w:pPr>
              <w:spacing w:before="20" w:after="20"/>
            </w:pPr>
            <w:r>
              <w:rPr>
                <w:rFonts w:ascii="Aptos" w:hAnsi="Aptos"/>
                <w:b w:val="0"/>
                <w:i w:val="0"/>
                <w:sz w:val="22"/>
              </w:rPr>
              <w:t>Kultura i realia gospodarcze Niemiec, Austrii i Szwajcarii – rynek IT.</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12.</w:t>
            </w:r>
          </w:p>
        </w:tc>
        <w:tc>
          <w:tcPr>
            <w:tcW w:type="dxa" w:w="4536"/>
          </w:tcPr>
          <w:p>
            <w:pPr>
              <w:spacing w:before="20" w:after="20"/>
            </w:pPr>
            <w:r>
              <w:rPr>
                <w:rFonts w:ascii="Aptos" w:hAnsi="Aptos"/>
                <w:b w:val="0"/>
                <w:i w:val="0"/>
                <w:sz w:val="22"/>
              </w:rPr>
              <w:t>Przygotowanie do certyfikacji B1 (Goethe-Zertifikat B1) – ćwiczenia.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13.</w:t>
            </w:r>
          </w:p>
        </w:tc>
        <w:tc>
          <w:tcPr>
            <w:tcW w:type="dxa" w:w="4536"/>
          </w:tcPr>
          <w:p>
            <w:pPr>
              <w:spacing w:before="20" w:after="20"/>
            </w:pPr>
            <w:r>
              <w:rPr>
                <w:rFonts w:ascii="Aptos" w:hAnsi="Aptos"/>
                <w:b w:val="0"/>
                <w:i w:val="0"/>
                <w:sz w:val="22"/>
              </w:rPr>
              <w:t>Projekt zaliczeniowy – prezentacja lub raport w języku niemieckim.</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14.</w:t>
            </w:r>
          </w:p>
        </w:tc>
        <w:tc>
          <w:tcPr>
            <w:tcW w:type="dxa" w:w="4536"/>
          </w:tcPr>
          <w:p>
            <w:pPr>
              <w:spacing w:before="20" w:after="20"/>
            </w:pPr>
            <w:r>
              <w:rPr>
                <w:rFonts w:ascii="Aptos" w:hAnsi="Aptos"/>
                <w:b w:val="0"/>
                <w:i w:val="0"/>
                <w:sz w:val="22"/>
              </w:rPr>
              <w:t>Powtórzenie materiału.</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15.</w:t>
            </w:r>
          </w:p>
        </w:tc>
        <w:tc>
          <w:tcPr>
            <w:tcW w:type="dxa" w:w="4536"/>
          </w:tcPr>
          <w:p>
            <w:pPr>
              <w:spacing w:before="20" w:after="20"/>
            </w:pPr>
            <w:r>
              <w:rPr>
                <w:rFonts w:ascii="Aptos" w:hAnsi="Aptos"/>
                <w:b w:val="0"/>
                <w:i w:val="0"/>
                <w:sz w:val="22"/>
              </w:rPr>
              <w:t>Kolokwium zaliczeniowe.</w:t>
            </w:r>
          </w:p>
        </w:tc>
        <w:tc>
          <w:tcPr>
            <w:tcW w:type="dxa" w:w="425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DaF Kompakt neu B1 - Birgit Braun, Margit, Doubek, Wydawnictwo Klett</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Nowe repetytorium z gramatyki języka niemieckiego, Stanisław Bęza, Wydawnictwo PWN 2023</w:t>
            </w:r>
          </w:p>
          <w:p>
            <w:pPr>
              <w:spacing w:before="20" w:after="20"/>
            </w:pPr>
            <w:r>
              <w:rPr>
                <w:rFonts w:ascii="Aptos" w:hAnsi="Aptos"/>
                <w:sz w:val="22"/>
              </w:rPr>
              <w:t>2. Welttour Deutsch, Sylwia Mróz-Dwornikowska, Wydawnictwo Nowa Era, 2020</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kolokwium; egzamin ustny; ocena sporządzonego dokumentu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kolokwium; egzamin ustny; ocena sporządzonego dokumentu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kolokwium; egzamin ustny;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konstruować proste wypowiedzi pisemne i ustne w języku niemieckim z wykorzystaniem opracowań dydaktycznych zgodnie z zasadami przewidzianymi dla danej formy</w:t>
            </w:r>
          </w:p>
        </w:tc>
        <w:tc>
          <w:tcPr>
            <w:tcW w:type="dxa" w:w="3324"/>
          </w:tcPr>
          <w:p>
            <w:pPr>
              <w:spacing w:before="20" w:after="20"/>
            </w:pPr>
            <w:r>
              <w:rPr>
                <w:rFonts w:ascii="Aptos" w:hAnsi="Aptos"/>
                <w:b w:val="0"/>
                <w:i w:val="0"/>
                <w:sz w:val="22"/>
              </w:rPr>
              <w:t>kolokwium; egzamin ustny; ocena sporządzonego dokumentu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posługiwać się językiem niemieckim w mowie i piśmie na poziomie podstawowym.</w:t>
            </w:r>
          </w:p>
        </w:tc>
        <w:tc>
          <w:tcPr>
            <w:tcW w:type="dxa" w:w="3324"/>
          </w:tcPr>
          <w:p>
            <w:pPr>
              <w:spacing w:before="20" w:after="20"/>
            </w:pPr>
            <w:r>
              <w:rPr>
                <w:rFonts w:ascii="Aptos" w:hAnsi="Aptos"/>
                <w:b w:val="0"/>
                <w:i w:val="0"/>
                <w:sz w:val="22"/>
              </w:rPr>
              <w:t>kolokwium; egzamin ustny;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permanentnego doskonalenia kompetencji językowych w celach zawodowych</w:t>
            </w:r>
          </w:p>
        </w:tc>
        <w:tc>
          <w:tcPr>
            <w:tcW w:type="dxa" w:w="3324"/>
          </w:tcPr>
          <w:p>
            <w:pPr>
              <w:spacing w:before="20" w:after="20"/>
            </w:pPr>
            <w:r>
              <w:rPr>
                <w:rFonts w:ascii="Aptos" w:hAnsi="Aptos"/>
                <w:b w:val="0"/>
                <w:i w:val="0"/>
                <w:sz w:val="22"/>
              </w:rPr>
              <w:t>kolokwium; egzamin ustny; ocena sporządzonego dokumentu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ciągłego samokształcenia własnych kompetencji językowych oraz dostrzega potrzebę podejmowania inicjatyw w dziedzinach biznesowych.</w:t>
            </w:r>
          </w:p>
        </w:tc>
        <w:tc>
          <w:tcPr>
            <w:tcW w:type="dxa" w:w="3324"/>
          </w:tcPr>
          <w:p>
            <w:pPr>
              <w:spacing w:before="20" w:after="20"/>
            </w:pPr>
            <w:r>
              <w:rPr>
                <w:rFonts w:ascii="Aptos" w:hAnsi="Aptos"/>
                <w:b w:val="0"/>
                <w:i w:val="0"/>
                <w:sz w:val="22"/>
              </w:rPr>
              <w:t>kolokwium; egzamin ustny;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