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RT i FreeRTOS: pojęcia deterministyczności, jitter, deadline, zadania vs przerwania.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Scheduler FreeRTOS: priorytety, wywłaszczanie, time-slicing, stany zadań, dobór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Zarządzanie czasem: tick, opóźnienia i timeouty, vTaskDelay/Until, timery programowe.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między zadaniami: kolejki, stream/message buffers, wzorce producent–konsument.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Synchronizacja i sekcje krytyczne: semafory, mutexy, recursive mutex, problem priority inversion.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Event Groups i Task Notifications: sygnalizacja zdarzeń, szybkie mechanizmy synchronizacji.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Przerwania w FreeRTOS: ISR-safe API, kolejki z ISR, zarządzanie latencją i czasem obsługi.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Pamięć w FreeRTOS: stos zadania, heap (strategie), alokacja dynamiczna, fragmentacja, diagnostyka.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obserwowalność: trace, runtime stats, watchdog, analiza zakleszczeń i przepełnień stosu.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RTOS end-to-end: architektura aplikacji, podział na moduły, testy funkcjonalne i czasowe, kryteria zaliczenia.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