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– Język angielski (semestr 6)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 ANG – semestr 5 (LEK2)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B2+/C1.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C1. Student osiąga biegłość zawodową i akademicką w języku angielskim pozwalającą na samodzielne prowadzenie projektów, pisanie prac dyplomowych i uczestnictwo w konferencjach naukowych.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 level. Students achieve professional and academic fluency in English enabling them to independently conduct projects, write diploma theses, and participate in scientific conferences.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poprzednich semestrów.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pracy inżynierskiej po angielsku – struktura rozdziałów, styl akademicki, cytowanie.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branżowe z zakresu specjalizacji studenta – analiza tekstów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wyników badań – konferencja naukowa: abstrakt, poster, prezentacja.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Zaawansowana komunikacja biznesowa: negocjacje, zarządzanie konfliktem, feedback.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case studies z obszaru IT w języku angielskim – dyskusja i wnioski.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listu motywacyjnego i CV na rynek zagraniczny.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w języku angielskim – zaawansowane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Anglojęzyczne standardy i regulacje IT: GDPR, ISO, IEEE – analiza dokumentów.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dyplomowego w języku angielskim –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C1/C2 – ćwiczenia z testów CAE/CPE.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esej akademicki.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Cambridge English Online, Academic Word List.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swobodnie konstruować wypowiedzi pisemne i ustne w języku angielskim na poziomie C1, w tym pisać pracę dyplomową.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na poziomie C1 w środowisku zawodowym i akademickim.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uczestnictwa w międzynarodowych projektach i konferencjach naukowych.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