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Podstawowe umiejętności w zakresie programowania obiektowego</w:t>
            </w:r>
          </w:p>
        </w:tc>
      </w:tr>
      <w:tr>
        <w:tc>
          <w:tcPr>
            <w:tcW w:type="dxa" w:w="4986"/>
          </w:tcPr>
          <w:p>
            <w:pPr>
              <w:spacing w:before="20" w:after="20"/>
            </w:pPr>
            <w:r>
              <w:rPr>
                <w:rFonts w:ascii="Aptos" w:hAnsi="Aptos"/>
                <w:b w:val="0"/>
                <w:i w:val="0"/>
                <w:sz w:val="22"/>
              </w:rPr>
              <w:t>Algorytmy i struktury danych</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Ogólna znajomość problematyki relacyjnych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Pojęcia i metody inżynierii oprogramowania. Cykl życia produktu informatycznego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Faza przedprojektowa i planowanie projektu; Dokument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Praktyczne przykłady konstrukcji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Cechy narządzi CASE.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Model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Praktyka modelowania i specyfikacji przypadków użycia. Techniki specyfikacji scenariuszy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dynamiki systemu w języku UML – wprowadzenie. Techniki modelowania interakcji w systemie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Diagramy sekwencji UML jako uniwersalna technika modelowania interakcji pomiędzy składowymi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Specyfikowanie przypadków użycia z wykorzystaniem diagramów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Zaawansowane przykłady modelowania diagramu klas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Diagramy maszyny stanowej jako technika zarządzania złożonością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